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numbering.xml" ContentType="application/vnd.openxmlformats-officedocument.wordprocessingml.numbering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pStyle w:val="a6"/>
        <w:jc w:val="center"/>
        <w:numPr>
          <w:ilvl w:val="0"/>
          <w:numId w:val="1"/>
        </w:numPr>
        <w:spacing w:after="0" w:line="100" w:lineRule="atLeast"/>
        <w:rPr>
          <w:color w:val="auto"/>
        </w:rPr>
      </w:pPr>
      <w:r>
        <w:rPr>
          <w:rFonts w:ascii="Times New Roman" w:hAnsi="Times New Roman"/>
          <w:bCs/>
          <w:iCs/>
          <w:color w:val="auto"/>
          <w:sz w:val="24"/>
          <w:szCs w:val="24"/>
        </w:rPr>
        <w:t>ФГБОУ ВО КрасГМУ</w:t>
      </w:r>
      <w:r>
        <w:rPr>
          <w:rFonts w:ascii="Times New Roman" w:hAnsi="Times New Roman"/>
          <w:color w:val="auto"/>
          <w:sz w:val="24"/>
          <w:szCs w:val="24"/>
        </w:rPr>
        <w:t>им. проф. В.Ф. Войно-Ясенецкого Минздрава России</w:t>
      </w:r>
    </w:p>
    <w:p>
      <w:pPr>
        <w:pStyle w:val="a6"/>
        <w:jc w:val="center"/>
        <w:numPr>
          <w:ilvl w:val="0"/>
          <w:numId w:val="1"/>
        </w:numPr>
        <w:tabs>
          <w:tab w:val="center" w:pos="4821"/>
        </w:tabs>
        <w:spacing w:after="0" w:line="100" w:lineRule="atLeast"/>
        <w:rPr>
          <w:color w:val="auto"/>
        </w:rPr>
      </w:pPr>
      <w:r>
        <w:rPr>
          <w:rFonts w:ascii="Times New Roman" w:hAnsi="Times New Roman"/>
          <w:color w:val="auto"/>
          <w:sz w:val="24"/>
          <w:szCs w:val="24"/>
        </w:rPr>
        <w:t>Фармацевтический колледж</w:t>
      </w:r>
    </w:p>
    <w:p>
      <w:pPr>
        <w:pStyle w:val="af3"/>
        <w:jc w:val="center"/>
        <w:numPr>
          <w:ilvl w:val="0"/>
          <w:numId w:val="1"/>
        </w:numPr>
        <w:tabs>
          <w:tab w:val="center" w:pos="4821"/>
        </w:tabs>
        <w:spacing w:after="0" w:line="240" w:lineRule="auto"/>
        <w:rPr>
          <w:rFonts w:ascii="Times New Roman" w:hAnsi="Times New Roman"/>
          <w:b/>
          <w:bCs/>
          <w:i/>
          <w:szCs w:val="20"/>
        </w:rPr>
      </w:pPr>
    </w:p>
    <w:p>
      <w:pPr>
        <w:pStyle w:val="af3"/>
        <w:jc w:val="center"/>
        <w:numPr>
          <w:ilvl w:val="0"/>
          <w:numId w:val="1"/>
        </w:numPr>
        <w:tabs>
          <w:tab w:val="center" w:pos="4821"/>
        </w:tabs>
        <w:rPr>
          <w:rFonts w:ascii="Times New Roman" w:hAnsi="Times New Roman"/>
          <w:b/>
          <w:bCs/>
        </w:rPr>
      </w:pPr>
    </w:p>
    <w:p>
      <w:pPr>
        <w:pStyle w:val="21"/>
        <w:keepLines w:val="off"/>
        <w:widowControl/>
        <w:jc w:val="center"/>
        <w:numPr>
          <w:ilvl w:val="0"/>
          <w:numId w:val="1"/>
        </w:numPr>
        <w:tabs>
          <w:tab w:val="left" w:pos="576"/>
          <w:tab w:val="left" w:pos="708"/>
        </w:tabs>
        <w:spacing w:before="0" w:line="100" w:lineRule="atLeast"/>
        <w:rPr>
          <w:rFonts w:cs="Times New Roman"/>
          <w:b w:val="0"/>
          <w:sz w:val="48"/>
          <w:szCs w:val="48"/>
        </w:rPr>
      </w:pPr>
    </w:p>
    <w:p>
      <w:pPr>
        <w:pStyle w:val="21"/>
        <w:keepLines w:val="off"/>
        <w:widowControl/>
        <w:jc w:val="center"/>
        <w:numPr>
          <w:ilvl w:val="0"/>
          <w:numId w:val="1"/>
        </w:numPr>
        <w:tabs>
          <w:tab w:val="left" w:pos="576"/>
          <w:tab w:val="left" w:pos="708"/>
        </w:tabs>
        <w:spacing w:before="0" w:line="100" w:lineRule="atLeast"/>
        <w:rPr>
          <w:rFonts w:cs="Times New Roman"/>
          <w:b w:val="0"/>
          <w:i/>
          <w:color w:val="auto"/>
          <w:sz w:val="48"/>
          <w:szCs w:val="48"/>
        </w:rPr>
      </w:pPr>
      <w:r>
        <w:rPr>
          <w:rFonts w:cs="Times New Roman"/>
          <w:color w:val="auto"/>
          <w:sz w:val="48"/>
          <w:szCs w:val="48"/>
        </w:rPr>
        <w:t>ДНЕВНИК</w:t>
      </w:r>
    </w:p>
    <w:p>
      <w:pPr>
        <w:pStyle w:val="af3"/>
        <w:jc w:val="center"/>
        <w:numPr>
          <w:ilvl w:val="0"/>
          <w:numId w:val="1"/>
        </w:num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преддипломной практики</w:t>
      </w:r>
    </w:p>
    <w:p>
      <w:pPr>
        <w:pStyle w:val="a6"/>
        <w:jc w:val="both"/>
        <w:numPr>
          <w:ilvl w:val="0"/>
          <w:numId w:val="1"/>
        </w:numPr>
        <w:spacing w:after="0"/>
      </w:pPr>
      <w:r>
        <w:rPr>
          <w:rFonts w:ascii="Times New Roman" w:hAnsi="Times New Roman"/>
          <w:color w:val="000000"/>
          <w:sz w:val="28"/>
          <w:szCs w:val="28"/>
        </w:rPr>
        <w:t>МДК. 01.01. Лекарствоведение</w:t>
      </w:r>
    </w:p>
    <w:p>
      <w:pPr>
        <w:pStyle w:val="aff8"/>
        <w:widowControl/>
        <w:jc w:val="both"/>
        <w:numPr>
          <w:ilvl w:val="0"/>
          <w:numId w:val="1"/>
        </w:numPr>
        <w:tabs>
          <w:tab w:val="left" w:pos="708"/>
        </w:tabs>
        <w:spacing w:after="0" w:line="100" w:lineRule="atLeast"/>
        <w:rPr>
          <w:szCs w:val="28"/>
          <w:u w:val="single" w:color="auto"/>
        </w:rPr>
      </w:pPr>
    </w:p>
    <w:p>
      <w:pPr>
        <w:pStyle w:val="aff8"/>
        <w:ind w:right="849"/>
        <w:widowControl/>
        <w:jc w:val="both"/>
        <w:numPr>
          <w:ilvl w:val="0"/>
          <w:numId w:val="1"/>
        </w:numPr>
        <w:tabs>
          <w:tab w:val="left"/>
          <w:tab w:val="left" w:pos="708"/>
        </w:tabs>
        <w:spacing w:after="0" w:line="100" w:lineRule="atLeast"/>
        <w:rPr>
          <w:sz w:val="28"/>
          <w:szCs w:val="28"/>
        </w:rPr>
      </w:pPr>
      <w:r>
        <w:rPr>
          <w:sz w:val="28"/>
          <w:szCs w:val="28"/>
          <w:u w:val="single" w:color="auto"/>
        </w:rPr>
        <w:t>Ф.И.О_</w:t>
      </w:r>
      <w:r>
        <w:rPr>
          <w:sz w:val="28"/>
          <w:szCs w:val="28"/>
          <w:u w:val="single" w:color="auto"/>
          <w:rtl w:val="off"/>
        </w:rPr>
        <w:t xml:space="preserve">Ахматкулова Диля Артыкбаевна </w:t>
      </w:r>
    </w:p>
    <w:p>
      <w:pPr>
        <w:pStyle w:val="aff8"/>
        <w:ind w:left="0" w:right="849"/>
        <w:widowControl/>
        <w:jc w:val="both"/>
        <w:tabs>
          <w:tab w:val="left"/>
          <w:tab w:val="left" w:pos="708"/>
        </w:tabs>
        <w:spacing w:after="0" w:line="100" w:lineRule="atLeast"/>
        <w:rPr>
          <w:szCs w:val="28"/>
        </w:rPr>
      </w:pPr>
    </w:p>
    <w:p>
      <w:pPr>
        <w:pStyle w:val="aff8"/>
        <w:widowControl/>
        <w:jc w:val="both"/>
        <w:numPr>
          <w:ilvl w:val="0"/>
          <w:numId w:val="1"/>
        </w:numPr>
        <w:tabs>
          <w:tab w:val="left" w:pos="708"/>
        </w:tabs>
        <w:spacing w:after="0" w:line="100" w:lineRule="atLeast"/>
        <w:rPr>
          <w:szCs w:val="28"/>
        </w:rPr>
      </w:pPr>
    </w:p>
    <w:p>
      <w:pPr>
        <w:pStyle w:val="af3"/>
        <w:numPr>
          <w:ilvl w:val="0"/>
          <w:numId w:val="1"/>
        </w:numPr>
        <w:spacing w:after="0" w:line="240" w:lineRule="auto"/>
      </w:pPr>
      <w:r>
        <w:rPr>
          <w:rFonts w:ascii="Times New Roman" w:hAnsi="Times New Roman"/>
          <w:sz w:val="28"/>
          <w:szCs w:val="28"/>
        </w:rPr>
        <w:t>Место прохождения практики __</w:t>
      </w:r>
      <w:r>
        <w:rPr>
          <w:rFonts w:ascii="Times New Roman" w:hAnsi="Times New Roman"/>
          <w:sz w:val="28"/>
          <w:szCs w:val="28"/>
          <w:u w:val="single" w:color="auto"/>
          <w:rtl w:val="off"/>
        </w:rPr>
        <w:t>ООО “Витамед” ул.Мичурина 23</w:t>
      </w:r>
    </w:p>
    <w:p>
      <w:pPr>
        <w:pStyle w:val="af3"/>
        <w:jc w:val="center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(медицинская/фармацевтическая организация, отделение)</w:t>
      </w:r>
    </w:p>
    <w:p>
      <w:pPr>
        <w:pStyle w:val="af3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</w:p>
    <w:p>
      <w:pPr>
        <w:pStyle w:val="af3"/>
        <w:jc w:val="both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«</w:t>
      </w:r>
      <w:r>
        <w:rPr>
          <w:rFonts w:ascii="Times New Roman" w:hAnsi="Times New Roman"/>
          <w:sz w:val="28"/>
          <w:szCs w:val="28"/>
          <w:rtl w:val="off"/>
        </w:rPr>
        <w:t>11</w:t>
      </w:r>
      <w:r>
        <w:rPr>
          <w:rFonts w:ascii="Times New Roman" w:hAnsi="Times New Roman"/>
          <w:sz w:val="28"/>
          <w:szCs w:val="28"/>
        </w:rPr>
        <w:t>» ___</w:t>
      </w:r>
      <w:r>
        <w:rPr>
          <w:rFonts w:ascii="Times New Roman" w:hAnsi="Times New Roman"/>
          <w:sz w:val="28"/>
          <w:szCs w:val="28"/>
          <w:u w:val="single" w:color="auto"/>
        </w:rPr>
        <w:t>0</w:t>
      </w:r>
      <w:r>
        <w:rPr>
          <w:rFonts w:ascii="Times New Roman" w:hAnsi="Times New Roman"/>
          <w:sz w:val="28"/>
          <w:szCs w:val="28"/>
          <w:u w:val="single" w:color="auto"/>
          <w:rtl w:val="off"/>
        </w:rPr>
        <w:t>5</w:t>
      </w:r>
      <w:r>
        <w:rPr>
          <w:rFonts w:ascii="Times New Roman" w:hAnsi="Times New Roman"/>
          <w:sz w:val="28"/>
          <w:szCs w:val="28"/>
        </w:rPr>
        <w:t>___ 20</w:t>
      </w:r>
      <w:r>
        <w:rPr>
          <w:rFonts w:ascii="Times New Roman" w:hAnsi="Times New Roman"/>
          <w:sz w:val="28"/>
          <w:szCs w:val="28"/>
          <w:rtl w:val="off"/>
        </w:rPr>
        <w:t>20</w:t>
      </w:r>
      <w:r>
        <w:rPr>
          <w:rFonts w:ascii="Times New Roman" w:hAnsi="Times New Roman"/>
          <w:sz w:val="28"/>
          <w:szCs w:val="28"/>
        </w:rPr>
        <w:t>г.   по   «</w:t>
      </w:r>
      <w:r>
        <w:rPr>
          <w:rFonts w:ascii="Times New Roman" w:hAnsi="Times New Roman"/>
          <w:sz w:val="28"/>
          <w:szCs w:val="28"/>
          <w:rtl w:val="off"/>
        </w:rPr>
        <w:t>2</w:t>
      </w:r>
      <w:r>
        <w:rPr>
          <w:rFonts w:ascii="Times New Roman" w:hAnsi="Times New Roman"/>
          <w:sz w:val="28"/>
          <w:szCs w:val="28"/>
        </w:rPr>
        <w:t>3» ____</w:t>
      </w:r>
      <w:r>
        <w:rPr>
          <w:rFonts w:ascii="Times New Roman" w:hAnsi="Times New Roman"/>
          <w:sz w:val="28"/>
          <w:szCs w:val="28"/>
          <w:u w:val="single" w:color="auto"/>
        </w:rPr>
        <w:t>05</w:t>
      </w:r>
      <w:r>
        <w:rPr>
          <w:rFonts w:ascii="Times New Roman" w:hAnsi="Times New Roman"/>
          <w:sz w:val="28"/>
          <w:szCs w:val="28"/>
        </w:rPr>
        <w:t>___20</w:t>
      </w:r>
      <w:r>
        <w:rPr>
          <w:rFonts w:ascii="Times New Roman" w:hAnsi="Times New Roman"/>
          <w:sz w:val="28"/>
          <w:szCs w:val="28"/>
          <w:rtl w:val="off"/>
        </w:rPr>
        <w:t>20</w:t>
      </w:r>
      <w:r>
        <w:rPr>
          <w:rFonts w:ascii="Times New Roman" w:hAnsi="Times New Roman"/>
          <w:sz w:val="28"/>
          <w:szCs w:val="28"/>
        </w:rPr>
        <w:t xml:space="preserve"> г.</w:t>
      </w:r>
    </w:p>
    <w:p>
      <w:pPr>
        <w:pStyle w:val="af3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</w:p>
    <w:p>
      <w:pPr>
        <w:pStyle w:val="af3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Руководители практики:</w:t>
      </w:r>
    </w:p>
    <w:p>
      <w:pPr>
        <w:pStyle w:val="af3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</w:p>
    <w:p>
      <w:pPr>
        <w:pStyle w:val="af3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Общий –</w:t>
      </w:r>
      <w:r>
        <w:rPr>
          <w:rFonts w:ascii="Times New Roman" w:hAnsi="Times New Roman"/>
          <w:sz w:val="28"/>
          <w:szCs w:val="28"/>
          <w:u w:val="single" w:color="auto"/>
        </w:rPr>
        <w:t>_</w:t>
      </w:r>
      <w:r>
        <w:rPr>
          <w:rFonts w:ascii="Times New Roman" w:hAnsi="Times New Roman"/>
          <w:sz w:val="28"/>
          <w:szCs w:val="28"/>
          <w:u w:val="single" w:color="auto"/>
          <w:rtl w:val="off"/>
        </w:rPr>
        <w:t>Мацеринская Оксана Леонидавна</w:t>
      </w:r>
      <w:r>
        <w:rPr>
          <w:rFonts w:ascii="Times New Roman" w:hAnsi="Times New Roman"/>
          <w:sz w:val="28"/>
          <w:szCs w:val="28"/>
          <w:u w:val="single" w:color="auto"/>
        </w:rPr>
        <w:t xml:space="preserve">  (Зав.аптекой)</w:t>
      </w:r>
    </w:p>
    <w:p>
      <w:pPr>
        <w:pStyle w:val="af3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</w:p>
    <w:p>
      <w:pPr>
        <w:pStyle w:val="af3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Непосредственный –</w:t>
      </w:r>
      <w:r>
        <w:rPr>
          <w:rFonts w:ascii="Times New Roman" w:hAnsi="Times New Roman"/>
          <w:sz w:val="28"/>
          <w:szCs w:val="28"/>
          <w:u w:val="single" w:color="auto"/>
          <w:rtl w:val="off"/>
        </w:rPr>
        <w:t>Ташлыкова Ольга Семеновна</w:t>
      </w:r>
      <w:r>
        <w:rPr>
          <w:rFonts w:ascii="Times New Roman" w:hAnsi="Times New Roman"/>
          <w:sz w:val="28"/>
          <w:szCs w:val="28"/>
          <w:u w:val="single" w:color="auto"/>
        </w:rPr>
        <w:t xml:space="preserve">  (Фармацевт)</w:t>
      </w:r>
    </w:p>
    <w:p>
      <w:pPr>
        <w:pStyle w:val="af3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</w:p>
    <w:p>
      <w:pPr>
        <w:pStyle w:val="af3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Методический – </w:t>
      </w:r>
      <w:r>
        <w:rPr>
          <w:rFonts w:ascii="Times New Roman" w:hAnsi="Times New Roman"/>
          <w:sz w:val="28"/>
          <w:szCs w:val="28"/>
          <w:u w:val="single" w:color="auto"/>
          <w:rtl w:val="off"/>
        </w:rPr>
        <w:t>Анисимова Марина Владимировна</w:t>
      </w:r>
      <w:r>
        <w:rPr>
          <w:rFonts w:ascii="Times New Roman" w:hAnsi="Times New Roman"/>
          <w:sz w:val="28"/>
          <w:szCs w:val="28"/>
          <w:u w:val="single" w:color="auto"/>
        </w:rPr>
        <w:t xml:space="preserve"> (Преподаватель)</w:t>
      </w:r>
    </w:p>
    <w:p>
      <w:pPr>
        <w:pStyle w:val="af3"/>
        <w:jc w:val="right"/>
        <w:numPr>
          <w:ilvl w:val="0"/>
          <w:numId w:val="1"/>
        </w:numPr>
        <w:spacing w:after="0"/>
        <w:rPr>
          <w:rFonts w:ascii="Times New Roman" w:hAnsi="Times New Roman"/>
          <w:b/>
          <w:i/>
          <w:sz w:val="28"/>
          <w:szCs w:val="28"/>
        </w:rPr>
      </w:pPr>
    </w:p>
    <w:p>
      <w:pPr>
        <w:pStyle w:val="af3"/>
        <w:jc w:val="center"/>
        <w:spacing w:after="0"/>
        <w:rPr>
          <w:rFonts w:ascii="Times New Roman" w:hAnsi="Times New Roman"/>
          <w:sz w:val="28"/>
          <w:szCs w:val="28"/>
        </w:rPr>
      </w:pPr>
    </w:p>
    <w:p>
      <w:pPr>
        <w:pStyle w:val="af3"/>
        <w:jc w:val="center"/>
        <w:spacing w:after="0"/>
        <w:rPr>
          <w:rFonts w:ascii="Times New Roman" w:hAnsi="Times New Roman"/>
          <w:sz w:val="28"/>
          <w:szCs w:val="28"/>
        </w:rPr>
      </w:pPr>
    </w:p>
    <w:p>
      <w:pPr>
        <w:pStyle w:val="af3"/>
        <w:jc w:val="center"/>
        <w:spacing w:after="0"/>
        <w:rPr>
          <w:rFonts w:ascii="Times New Roman" w:hAnsi="Times New Roman"/>
          <w:sz w:val="28"/>
          <w:szCs w:val="28"/>
        </w:rPr>
      </w:pPr>
    </w:p>
    <w:p>
      <w:pPr>
        <w:pStyle w:val="af3"/>
        <w:jc w:val="center"/>
        <w:spacing w:after="0"/>
        <w:rPr>
          <w:rFonts w:ascii="Times New Roman" w:hAnsi="Times New Roman"/>
          <w:sz w:val="28"/>
          <w:szCs w:val="28"/>
        </w:rPr>
      </w:pPr>
    </w:p>
    <w:p>
      <w:pPr>
        <w:pStyle w:val="af3"/>
        <w:jc w:val="center"/>
        <w:spacing w:after="0"/>
        <w:rPr>
          <w:rFonts w:ascii="Times New Roman" w:hAnsi="Times New Roman"/>
          <w:sz w:val="28"/>
          <w:szCs w:val="28"/>
        </w:rPr>
      </w:pPr>
    </w:p>
    <w:p>
      <w:pPr>
        <w:pStyle w:val="af3"/>
        <w:jc w:val="center"/>
        <w:spacing w:after="0"/>
        <w:rPr>
          <w:rFonts w:ascii="Times New Roman" w:hAnsi="Times New Roman"/>
          <w:sz w:val="28"/>
          <w:szCs w:val="28"/>
        </w:rPr>
      </w:pPr>
    </w:p>
    <w:p>
      <w:pPr>
        <w:pStyle w:val="af3"/>
        <w:jc w:val="center"/>
        <w:spacing w:after="0"/>
        <w:rPr>
          <w:rFonts w:ascii="Times New Roman" w:hAnsi="Times New Roman"/>
          <w:sz w:val="28"/>
          <w:szCs w:val="28"/>
        </w:rPr>
      </w:pPr>
    </w:p>
    <w:p>
      <w:pPr>
        <w:pStyle w:val="af3"/>
        <w:jc w:val="center"/>
        <w:spacing w:after="0"/>
        <w:rPr>
          <w:rFonts w:ascii="Times New Roman" w:hAnsi="Times New Roman"/>
          <w:sz w:val="28"/>
          <w:szCs w:val="28"/>
        </w:rPr>
      </w:pPr>
    </w:p>
    <w:p>
      <w:pPr>
        <w:pStyle w:val="af3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</w:p>
    <w:p>
      <w:pPr>
        <w:pStyle w:val="af3"/>
        <w:jc w:val="center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</w:p>
    <w:p>
      <w:pPr>
        <w:pStyle w:val="af3"/>
        <w:jc w:val="center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</w:p>
    <w:p>
      <w:pPr>
        <w:pStyle w:val="af3"/>
        <w:jc w:val="center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Красноярск</w:t>
      </w:r>
    </w:p>
    <w:p>
      <w:pPr>
        <w:pStyle w:val="af3"/>
        <w:jc w:val="center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  <w:rtl w:val="off"/>
        </w:rPr>
        <w:t>20</w:t>
      </w:r>
    </w:p>
    <w:p>
      <w:pPr>
        <w:jc w:val="both"/>
        <w:tabs>
          <w:tab w:val="right" w:pos="9639" w:leader="underscore"/>
        </w:tabs>
        <w:spacing w:line="100" w:lineRule="atLeast"/>
        <w:rPr>
          <w:rFonts w:cs="Times New Roman"/>
          <w:b/>
          <w:bCs/>
          <w:sz w:val="28"/>
          <w:szCs w:val="28"/>
          <w:rtl w:val="off"/>
        </w:rPr>
      </w:pPr>
    </w:p>
    <w:p>
      <w:pPr>
        <w:jc w:val="both"/>
        <w:tabs>
          <w:tab w:val="right" w:pos="9639" w:leader="underscore"/>
        </w:tabs>
        <w:spacing w:line="100" w:lineRule="atLeast"/>
        <w:rPr>
          <w:rFonts w:cs="Times New Roman"/>
          <w:b/>
          <w:bCs/>
          <w:sz w:val="28"/>
          <w:szCs w:val="28"/>
          <w:rtl w:val="off"/>
        </w:rPr>
      </w:pPr>
    </w:p>
    <w:p>
      <w:pPr>
        <w:jc w:val="both"/>
        <w:tabs>
          <w:tab w:val="right" w:pos="9639" w:leader="underscore"/>
        </w:tabs>
        <w:spacing w:line="100" w:lineRule="atLeast"/>
        <w:rPr>
          <w:rFonts w:cs="Times New Roman"/>
          <w:b/>
          <w:bCs/>
          <w:sz w:val="28"/>
          <w:szCs w:val="28"/>
          <w:rtl w:val="off"/>
        </w:rPr>
      </w:pPr>
    </w:p>
    <w:p>
      <w:pPr>
        <w:jc w:val="both"/>
        <w:tabs>
          <w:tab w:val="right" w:pos="9639" w:leader="underscore"/>
        </w:tabs>
        <w:spacing w:line="100" w:lineRule="atLeast"/>
        <w:rPr>
          <w:rFonts w:cs="Times New Roman"/>
          <w:b/>
          <w:bCs/>
        </w:rPr>
      </w:pPr>
      <w:r>
        <w:rPr>
          <w:rFonts w:cs="Times New Roman"/>
          <w:b/>
          <w:bCs/>
          <w:sz w:val="28"/>
          <w:szCs w:val="28"/>
        </w:rPr>
        <w:t>Объем производственной практики и тематический план</w:t>
      </w:r>
    </w:p>
    <w:tbl>
      <w:tblPr>
        <w:tblW w:w="0" w:type="auto"/>
        <w:tblInd w:w="103" w:type="dxa"/>
        <w:tblLook w:val="0000" w:firstRow="0" w:lastRow="0" w:firstColumn="0" w:lastColumn="0" w:noHBand="0" w:noVBand="0"/>
        <w:tblLayout w:type="fixed"/>
        <w:tblCellMar>
          <w:top w:w="0" w:type="dxa"/>
          <w:left w:w="113" w:type="dxa"/>
          <w:bottom w:w="0" w:type="dxa"/>
          <w:right w:w="0" w:type="dxa"/>
        </w:tblCellMar>
      </w:tblPr>
      <w:tblGrid>
        <w:gridCol w:w="605"/>
        <w:gridCol w:w="2018"/>
        <w:gridCol w:w="4418"/>
        <w:gridCol w:w="1668"/>
      </w:tblGrid>
      <w:tr>
        <w:trPr>
          <w:trHeight w:val="340" w:hRule="atLeast"/>
        </w:trPr>
        <w:tc>
          <w:tcPr>
            <w:tcW w:w="6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>
            <w:pPr>
              <w:jc w:val="center"/>
              <w:tabs>
                <w:tab w:val="right" w:pos="9639" w:leader="underscore"/>
              </w:tabs>
              <w:spacing w:line="100" w:lineRule="atLeast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№</w:t>
            </w:r>
          </w:p>
        </w:tc>
        <w:tc>
          <w:tcPr>
            <w:tcW w:w="643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>
            <w:pPr>
              <w:jc w:val="center"/>
              <w:tabs>
                <w:tab w:val="right" w:pos="9639" w:leader="underscore"/>
              </w:tabs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Наименование разделов и тем практики</w:t>
            </w:r>
          </w:p>
        </w:tc>
        <w:tc>
          <w:tcPr>
            <w:tcW w:w="1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jc w:val="center"/>
              <w:tabs>
                <w:tab w:val="right" w:pos="9639" w:leader="underscore"/>
              </w:tabs>
              <w:spacing w:line="100" w:lineRule="atLeast"/>
            </w:pPr>
            <w:r>
              <w:rPr>
                <w:rFonts w:cs="Times New Roman"/>
                <w:b/>
                <w:bCs/>
              </w:rPr>
              <w:t>Всего часов</w:t>
            </w:r>
          </w:p>
        </w:tc>
      </w:tr>
      <w:tr>
        <w:trPr>
          <w:trHeight w:val="340" w:hRule="atLeast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>
            <w:pPr>
              <w:jc w:val="center"/>
              <w:tabs>
                <w:tab w:val="right" w:pos="9639" w:leader="underscore"/>
              </w:tabs>
              <w:spacing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bCs/>
              </w:rPr>
              <w:t>1</w:t>
            </w:r>
          </w:p>
        </w:tc>
        <w:tc>
          <w:tcPr>
            <w:tcW w:w="6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>
            <w:pPr>
              <w:shd w:val="clear" w:color="auto" w:fill="FFFFFF"/>
              <w:spacing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Лекарственные средства,  влияющие на функции сердечно-сосудистой  системы. </w:t>
            </w:r>
          </w:p>
          <w:p>
            <w:pPr>
              <w:shd w:val="clear" w:color="auto" w:fill="FFFFFF"/>
              <w:spacing w:line="100" w:lineRule="atLeast"/>
              <w:rPr>
                <w:rFonts w:cs="Times New Roman"/>
                <w:bCs/>
              </w:rPr>
            </w:pPr>
            <w:r>
              <w:rPr>
                <w:rFonts w:cs="Times New Roman"/>
                <w:sz w:val="28"/>
                <w:szCs w:val="28"/>
              </w:rPr>
              <w:t>Ингибиторы АПФ. Блокаторы  ангиотензиновых рецепторов.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jc w:val="center"/>
              <w:tabs>
                <w:tab w:val="right" w:pos="9639" w:leader="underscore"/>
              </w:tabs>
              <w:spacing w:line="100" w:lineRule="atLeast"/>
              <w:rPr>
                <w:b/>
              </w:rPr>
            </w:pPr>
            <w:r>
              <w:rPr>
                <w:rFonts w:cs="Times New Roman"/>
                <w:b/>
                <w:bCs/>
              </w:rPr>
              <w:t>6</w:t>
            </w:r>
          </w:p>
        </w:tc>
      </w:tr>
      <w:tr>
        <w:trPr>
          <w:trHeight w:val="340" w:hRule="atLeast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>
            <w:pPr>
              <w:jc w:val="center"/>
              <w:tabs>
                <w:tab w:val="right" w:pos="9639" w:leader="underscore"/>
              </w:tabs>
              <w:spacing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bCs/>
              </w:rPr>
              <w:t>2</w:t>
            </w:r>
          </w:p>
        </w:tc>
        <w:tc>
          <w:tcPr>
            <w:tcW w:w="6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>
            <w:pPr>
              <w:shd w:val="clear" w:color="auto" w:fill="FFFFFF"/>
              <w:spacing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Нитраты. </w:t>
            </w:r>
          </w:p>
          <w:p>
            <w:pPr>
              <w:shd w:val="clear" w:color="auto" w:fill="FFFFFF"/>
              <w:spacing w:line="100" w:lineRule="atLeast"/>
              <w:rPr>
                <w:rFonts w:cs="Times New Roman"/>
                <w:bCs/>
              </w:rPr>
            </w:pPr>
            <w:r>
              <w:rPr>
                <w:rFonts w:cs="Times New Roman"/>
                <w:sz w:val="28"/>
                <w:szCs w:val="28"/>
              </w:rPr>
              <w:t>Блокаторы кальциевых каналов.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>
            <w:pPr>
              <w:jc w:val="center"/>
              <w:tabs>
                <w:tab w:val="right" w:pos="9639" w:leader="underscore"/>
              </w:tabs>
              <w:spacing w:line="100" w:lineRule="atLeast"/>
              <w:rPr>
                <w:b/>
              </w:rPr>
            </w:pPr>
            <w:r>
              <w:rPr>
                <w:rFonts w:cs="Times New Roman"/>
                <w:b/>
                <w:bCs/>
              </w:rPr>
              <w:t>6</w:t>
            </w:r>
          </w:p>
        </w:tc>
      </w:tr>
      <w:tr>
        <w:trPr>
          <w:trHeight w:val="340" w:hRule="atLeast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>
            <w:pPr>
              <w:jc w:val="center"/>
              <w:tabs>
                <w:tab w:val="right" w:pos="9639" w:leader="underscore"/>
              </w:tabs>
              <w:spacing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bCs/>
              </w:rPr>
              <w:t>3</w:t>
            </w:r>
          </w:p>
        </w:tc>
        <w:tc>
          <w:tcPr>
            <w:tcW w:w="6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>
            <w:pPr>
              <w:shd w:val="clear" w:color="auto" w:fill="FFFFFF"/>
              <w:spacing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Бета-адреноблокаторы.</w:t>
            </w:r>
          </w:p>
          <w:p>
            <w:pPr>
              <w:shd w:val="clear" w:color="auto" w:fill="FFFFFF"/>
              <w:spacing w:line="100" w:lineRule="atLeast"/>
              <w:rPr>
                <w:rFonts w:cs="Times New Roman"/>
                <w:bCs/>
              </w:rPr>
            </w:pPr>
            <w:r>
              <w:rPr>
                <w:rFonts w:cs="Times New Roman"/>
                <w:sz w:val="28"/>
                <w:szCs w:val="28"/>
              </w:rPr>
              <w:t>Неселективные, бета1,2-адреноблокаторы. Кардиоселективные бета1-адреноблокаторы. Альфа, бета-адреноблокаторы.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>
            <w:pPr>
              <w:jc w:val="center"/>
              <w:tabs>
                <w:tab w:val="right" w:pos="9639" w:leader="underscore"/>
              </w:tabs>
              <w:spacing w:line="100" w:lineRule="atLeast"/>
              <w:rPr>
                <w:b/>
              </w:rPr>
            </w:pPr>
            <w:r>
              <w:rPr>
                <w:rFonts w:cs="Times New Roman"/>
                <w:b/>
                <w:bCs/>
              </w:rPr>
              <w:t>6</w:t>
            </w:r>
          </w:p>
        </w:tc>
      </w:tr>
      <w:tr>
        <w:trPr>
          <w:trHeight w:val="340" w:hRule="atLeast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>
            <w:pPr>
              <w:jc w:val="center"/>
              <w:tabs>
                <w:tab w:val="right" w:pos="9639" w:leader="underscore"/>
              </w:tabs>
              <w:spacing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bCs/>
              </w:rPr>
              <w:t>4</w:t>
            </w:r>
          </w:p>
        </w:tc>
        <w:tc>
          <w:tcPr>
            <w:tcW w:w="6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>
            <w:pPr>
              <w:shd w:val="clear" w:color="auto" w:fill="FFFFFF"/>
              <w:spacing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Гиполипидемические средства. </w:t>
            </w:r>
          </w:p>
          <w:p>
            <w:pPr>
              <w:shd w:val="clear" w:color="auto" w:fill="FFFFFF"/>
              <w:spacing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 Статины. </w:t>
            </w:r>
          </w:p>
          <w:p>
            <w:pPr>
              <w:spacing w:line="100" w:lineRule="atLeast"/>
              <w:rPr>
                <w:rFonts w:cs="Times New Roman"/>
                <w:b/>
                <w:bCs/>
              </w:rPr>
            </w:pPr>
            <w:r>
              <w:rPr>
                <w:rFonts w:cs="Times New Roman"/>
                <w:sz w:val="28"/>
                <w:szCs w:val="28"/>
              </w:rPr>
              <w:t xml:space="preserve"> ПНЖК (полиненасыщенные жирные кислоты).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>
            <w:pPr>
              <w:jc w:val="center"/>
              <w:tabs>
                <w:tab w:val="right" w:pos="9639" w:leader="underscore"/>
              </w:tabs>
              <w:spacing w:line="100" w:lineRule="atLeast"/>
            </w:pPr>
            <w:r>
              <w:rPr>
                <w:rFonts w:cs="Times New Roman"/>
                <w:b/>
                <w:bCs/>
              </w:rPr>
              <w:t>6</w:t>
            </w:r>
          </w:p>
        </w:tc>
      </w:tr>
      <w:tr>
        <w:trPr>
          <w:trHeight w:val="340" w:hRule="atLeast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>
            <w:pPr>
              <w:jc w:val="center"/>
              <w:tabs>
                <w:tab w:val="right" w:pos="9639" w:leader="underscore"/>
              </w:tabs>
              <w:spacing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bCs/>
              </w:rPr>
              <w:t>5</w:t>
            </w:r>
          </w:p>
        </w:tc>
        <w:tc>
          <w:tcPr>
            <w:tcW w:w="6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>
            <w:pPr>
              <w:shd w:val="clear" w:color="auto" w:fill="FFFFFF"/>
              <w:spacing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Биогенные стимуляторы,  антиоксиданты, улучшающие метаболические процессы при различных сердечно-сосудистых заболеваниях.                     </w:t>
            </w:r>
          </w:p>
          <w:p>
            <w:pPr>
              <w:shd w:val="clear" w:color="auto" w:fill="FFFFFF"/>
              <w:spacing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Мельдоний «Милдронат», «Кардионат»</w:t>
            </w:r>
          </w:p>
          <w:p>
            <w:pPr>
              <w:shd w:val="clear" w:color="auto" w:fill="FFFFFF"/>
              <w:spacing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Триметазидин  «Предуктал» «Предуктал МВ»</w:t>
            </w:r>
          </w:p>
          <w:p>
            <w:pPr>
              <w:shd w:val="clear" w:color="auto" w:fill="FFFFFF"/>
              <w:spacing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Элькарнитин «Элькар»</w:t>
            </w:r>
          </w:p>
          <w:p>
            <w:pPr>
              <w:shd w:val="clear" w:color="auto" w:fill="FFFFFF"/>
              <w:spacing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Этилметилгидроксипиридина сукцинат «Мексиприм», «Мексидол»</w:t>
            </w:r>
          </w:p>
          <w:p>
            <w:pPr>
              <w:shd w:val="clear" w:color="auto" w:fill="FFFFFF"/>
              <w:spacing w:line="100" w:lineRule="atLeast"/>
              <w:rPr>
                <w:rFonts w:cs="Times New Roman"/>
                <w:b/>
                <w:bCs/>
              </w:rPr>
            </w:pPr>
            <w:r>
              <w:rPr>
                <w:rFonts w:cs="Times New Roman"/>
                <w:sz w:val="28"/>
                <w:szCs w:val="28"/>
              </w:rPr>
              <w:t>Рибоксин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>
            <w:pPr>
              <w:jc w:val="center"/>
              <w:tabs>
                <w:tab w:val="right" w:pos="9639" w:leader="underscore"/>
              </w:tabs>
              <w:spacing w:line="100" w:lineRule="atLeast"/>
            </w:pPr>
            <w:r>
              <w:rPr>
                <w:rFonts w:cs="Times New Roman"/>
                <w:b/>
                <w:bCs/>
              </w:rPr>
              <w:t>6</w:t>
            </w:r>
          </w:p>
        </w:tc>
      </w:tr>
      <w:tr>
        <w:trPr>
          <w:trHeight w:val="340" w:hRule="atLeast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>
            <w:pPr>
              <w:jc w:val="center"/>
              <w:tabs>
                <w:tab w:val="right" w:pos="9639" w:leader="underscore"/>
              </w:tabs>
              <w:spacing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bCs/>
              </w:rPr>
              <w:t>6</w:t>
            </w:r>
          </w:p>
        </w:tc>
        <w:tc>
          <w:tcPr>
            <w:tcW w:w="6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>
            <w:pPr>
              <w:shd w:val="clear" w:color="auto" w:fill="FFFFFF"/>
              <w:spacing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Диуретики в терапии сердечно-сосудистых заболеваний.</w:t>
            </w:r>
          </w:p>
          <w:p>
            <w:pPr>
              <w:spacing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Петлевые (сильные) диуретики. Тиазидные, тиазидоподобные  диуретики. </w:t>
            </w:r>
          </w:p>
          <w:p>
            <w:pPr>
              <w:spacing w:line="100" w:lineRule="atLeast"/>
              <w:rPr>
                <w:rFonts w:cs="Times New Roman"/>
                <w:b/>
                <w:bCs/>
              </w:rPr>
            </w:pPr>
            <w:r>
              <w:rPr>
                <w:rFonts w:cs="Times New Roman"/>
                <w:sz w:val="28"/>
                <w:szCs w:val="28"/>
              </w:rPr>
              <w:t>Калийсберегающие диуретики.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>
            <w:pPr>
              <w:jc w:val="center"/>
              <w:tabs>
                <w:tab w:val="right" w:pos="9639" w:leader="underscore"/>
              </w:tabs>
              <w:spacing w:line="100" w:lineRule="atLeast"/>
            </w:pPr>
            <w:r>
              <w:rPr>
                <w:rFonts w:cs="Times New Roman"/>
                <w:b/>
                <w:bCs/>
              </w:rPr>
              <w:t>6</w:t>
            </w:r>
          </w:p>
        </w:tc>
      </w:tr>
      <w:tr>
        <w:trPr>
          <w:trHeight w:val="340" w:hRule="atLeast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>
            <w:pPr>
              <w:snapToGrid w:val="0"/>
              <w:tabs>
                <w:tab w:val="right" w:pos="9639" w:leader="underscore"/>
              </w:tabs>
              <w:spacing w:line="100" w:lineRule="atLeast"/>
              <w:rPr>
                <w:rFonts w:cs="Times New Roman"/>
                <w:b/>
                <w:bCs/>
              </w:rPr>
            </w:pPr>
          </w:p>
        </w:tc>
        <w:tc>
          <w:tcPr>
            <w:tcW w:w="6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>
            <w:pPr>
              <w:tabs>
                <w:tab w:val="right" w:pos="9639" w:leader="underscore"/>
              </w:tabs>
              <w:spacing w:line="100" w:lineRule="atLeast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Итого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>
            <w:pPr>
              <w:jc w:val="center"/>
              <w:tabs>
                <w:tab w:val="right" w:pos="9639" w:leader="underscore"/>
              </w:tabs>
              <w:spacing w:line="100" w:lineRule="atLeast"/>
            </w:pPr>
            <w:r>
              <w:rPr>
                <w:rFonts w:cs="Times New Roman"/>
                <w:b/>
                <w:bCs/>
              </w:rPr>
              <w:t>36</w:t>
            </w:r>
          </w:p>
        </w:tc>
      </w:tr>
      <w:tr>
        <w:trPr>
          <w:trHeight w:val="835" w:hRule="atLeast"/>
        </w:trPr>
        <w:tc>
          <w:tcPr>
            <w:tcW w:w="2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>
            <w:pPr>
              <w:tabs>
                <w:tab w:val="right" w:pos="9639" w:leader="underscore"/>
              </w:tabs>
              <w:spacing w:line="100" w:lineRule="atLeast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>Вид промежуточной аттестации</w:t>
            </w:r>
          </w:p>
        </w:tc>
        <w:tc>
          <w:tcPr>
            <w:tcW w:w="4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>
            <w:pPr>
              <w:tabs>
                <w:tab w:val="right" w:pos="9639" w:leader="underscore"/>
              </w:tabs>
              <w:spacing w:line="100" w:lineRule="atLeast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дифференцированный зачет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>
            <w:pPr>
              <w:snapToGrid w:val="0"/>
              <w:jc w:val="center"/>
              <w:tabs>
                <w:tab w:val="right" w:pos="9639" w:leader="underscore"/>
              </w:tabs>
              <w:spacing w:line="100" w:lineRule="atLeast"/>
              <w:rPr>
                <w:rFonts w:cs="Times New Roman"/>
                <w:bCs/>
              </w:rPr>
            </w:pPr>
          </w:p>
        </w:tc>
      </w:tr>
    </w:tbl>
    <w:p>
      <w:pPr>
        <w:widowControl/>
        <w:suppressAutoHyphens w:val="off"/>
        <w:suppressAutoHyphens w:val="off"/>
        <w:spacing w:after="200" w:line="276" w:lineRule="auto"/>
        <w:rPr>
          <w:rFonts w:cs="Times New Roman"/>
          <w:sz w:val="28"/>
          <w:szCs w:val="28"/>
          <w:rtl w:val="off"/>
        </w:rPr>
      </w:pPr>
    </w:p>
    <w:p>
      <w:pPr>
        <w:widowControl/>
        <w:suppressAutoHyphens w:val="off"/>
        <w:jc w:val="left"/>
        <w:suppressAutoHyphens w:val="off"/>
        <w:spacing w:after="200" w:line="276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  <w:rtl w:val="off"/>
        </w:rPr>
        <w:t xml:space="preserve">                                                                 </w:t>
      </w:r>
      <w:r>
        <w:rPr>
          <w:rFonts w:cs="Times New Roman"/>
          <w:sz w:val="28"/>
          <w:szCs w:val="28"/>
        </w:rPr>
        <w:t>График работы</w:t>
      </w:r>
    </w:p>
    <w:p>
      <w:pPr>
        <w:jc w:val="center"/>
        <w:tabs>
          <w:tab w:val="left" w:pos="2745"/>
        </w:tabs>
        <w:spacing w:line="100" w:lineRule="atLeast"/>
        <w:rPr>
          <w:rFonts w:cs="Times New Roman"/>
          <w:sz w:val="28"/>
          <w:szCs w:val="28"/>
        </w:rPr>
      </w:pPr>
    </w:p>
    <w:p>
      <w:pPr>
        <w:jc w:val="center"/>
        <w:tabs>
          <w:tab w:val="left" w:pos="2745"/>
        </w:tabs>
        <w:spacing w:line="100" w:lineRule="atLeast"/>
        <w:rPr>
          <w:rFonts w:cs="Times New Roman"/>
          <w:sz w:val="28"/>
          <w:szCs w:val="28"/>
        </w:rPr>
      </w:pPr>
    </w:p>
    <w:p>
      <w:pPr>
        <w:jc w:val="center"/>
        <w:tabs>
          <w:tab w:val="left" w:pos="2745"/>
        </w:tabs>
        <w:spacing w:line="100" w:lineRule="atLeast"/>
        <w:rPr>
          <w:rFonts w:cs="Times New Roman"/>
          <w:sz w:val="28"/>
          <w:szCs w:val="28"/>
        </w:rPr>
      </w:pPr>
    </w:p>
    <w:tbl>
      <w:tblPr>
        <w:tblW w:w="9568" w:type="dxa"/>
        <w:tblInd w:w="108" w:type="dxa"/>
        <w:tblLook w:val="0000" w:firstRow="0" w:lastRow="0" w:firstColumn="0" w:lastColumn="0" w:noHBand="0" w:noVBand="0"/>
        <w:tblLayout w:type="fixed"/>
      </w:tblPr>
      <w:tblGrid>
        <w:gridCol w:w="671"/>
        <w:gridCol w:w="1505"/>
        <w:gridCol w:w="1527"/>
        <w:gridCol w:w="3963"/>
        <w:gridCol w:w="1902"/>
      </w:tblGrid>
      <w:t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>
            <w:pPr>
              <w:spacing w:line="100" w:lineRule="atLeast"/>
              <w:rPr>
                <w:lang w:eastAsia="ru-RU"/>
                <w:rFonts w:eastAsia="Times New Roman" w:cs="Times New Roman"/>
                <w:sz w:val="28"/>
                <w:szCs w:val="28"/>
              </w:rPr>
            </w:pPr>
            <w:r>
              <w:rPr>
                <w:lang w:eastAsia="ru-RU"/>
                <w:rFonts w:eastAsia="Times New Roman" w:cs="Times New Roman"/>
                <w:sz w:val="28"/>
                <w:szCs w:val="28"/>
              </w:rPr>
              <w:t xml:space="preserve">№ п/п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>
            <w:pPr>
              <w:spacing w:line="100" w:lineRule="atLeast"/>
              <w:rPr>
                <w:lang w:eastAsia="ru-RU"/>
                <w:rFonts w:eastAsia="Times New Roman" w:cs="Times New Roman"/>
                <w:sz w:val="28"/>
                <w:szCs w:val="28"/>
              </w:rPr>
            </w:pPr>
            <w:r>
              <w:rPr>
                <w:lang w:eastAsia="ru-RU"/>
                <w:rFonts w:eastAsia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>
            <w:pPr>
              <w:spacing w:line="100" w:lineRule="atLeast"/>
              <w:rPr>
                <w:lang w:eastAsia="ru-RU"/>
                <w:rFonts w:eastAsia="Times New Roman" w:cs="Times New Roman"/>
                <w:sz w:val="28"/>
                <w:szCs w:val="28"/>
              </w:rPr>
            </w:pPr>
            <w:r>
              <w:rPr>
                <w:lang w:eastAsia="ru-RU"/>
                <w:rFonts w:eastAsia="Times New Roman" w:cs="Times New Roman"/>
                <w:sz w:val="28"/>
                <w:szCs w:val="28"/>
              </w:rPr>
              <w:t>Часы работы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>
            <w:pPr>
              <w:spacing w:line="100" w:lineRule="atLeast"/>
              <w:rPr>
                <w:lang w:eastAsia="ru-RU"/>
                <w:rFonts w:eastAsia="Times New Roman" w:cs="Times New Roman"/>
                <w:sz w:val="28"/>
                <w:szCs w:val="28"/>
              </w:rPr>
            </w:pPr>
            <w:r>
              <w:rPr>
                <w:lang w:eastAsia="ru-RU"/>
                <w:rFonts w:eastAsia="Times New Roman" w:cs="Times New Roman"/>
                <w:sz w:val="28"/>
                <w:szCs w:val="28"/>
              </w:rPr>
              <w:t>Тема практического занятия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spacing w:line="100" w:lineRule="atLeast"/>
            </w:pPr>
            <w:r>
              <w:rPr>
                <w:lang w:eastAsia="ru-RU"/>
                <w:rFonts w:eastAsia="Times New Roman" w:cs="Times New Roman"/>
                <w:sz w:val="28"/>
                <w:szCs w:val="28"/>
              </w:rPr>
              <w:t>Подпись руководителя практики</w:t>
            </w:r>
          </w:p>
        </w:tc>
      </w:tr>
      <w:t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>
            <w:pPr>
              <w:spacing w:line="100" w:lineRule="atLeast"/>
              <w:rPr>
                <w:lang w:eastAsia="ru-RU"/>
                <w:rFonts w:eastAsia="Times New Roman" w:cs="Times New Roman"/>
                <w:sz w:val="28"/>
                <w:szCs w:val="20"/>
              </w:rPr>
            </w:pPr>
            <w:r>
              <w:rPr>
                <w:lang w:eastAsia="ru-RU"/>
                <w:rFonts w:eastAsia="Times New Roman" w:cs="Times New Roman"/>
                <w:sz w:val="28"/>
                <w:szCs w:val="28"/>
              </w:rPr>
              <w:t>1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>
            <w:pPr>
              <w:snapToGrid w:val="0"/>
              <w:spacing w:line="100" w:lineRule="atLeast"/>
              <w:rPr>
                <w:lang w:eastAsia="ru-RU"/>
                <w:rFonts w:eastAsia="Times New Roman" w:cs="Times New Roman"/>
                <w:sz w:val="28"/>
                <w:szCs w:val="20"/>
              </w:rPr>
            </w:pPr>
            <w:r>
              <w:rPr>
                <w:lang w:eastAsia="ru-RU"/>
                <w:rFonts w:eastAsia="Times New Roman" w:cs="Times New Roman"/>
                <w:sz w:val="28"/>
                <w:szCs w:val="20"/>
                <w:rtl w:val="off"/>
              </w:rPr>
              <w:t>11</w:t>
            </w:r>
            <w:r>
              <w:rPr>
                <w:lang w:eastAsia="ru-RU"/>
                <w:rFonts w:eastAsia="Times New Roman" w:cs="Times New Roman"/>
                <w:sz w:val="28"/>
                <w:szCs w:val="20"/>
              </w:rPr>
              <w:t>.0</w:t>
            </w:r>
            <w:r>
              <w:rPr>
                <w:lang w:eastAsia="ru-RU"/>
                <w:rFonts w:eastAsia="Times New Roman" w:cs="Times New Roman"/>
                <w:sz w:val="28"/>
                <w:szCs w:val="20"/>
                <w:rtl w:val="off"/>
              </w:rPr>
              <w:t>5</w:t>
            </w:r>
            <w:r>
              <w:rPr>
                <w:lang w:eastAsia="ru-RU"/>
                <w:rFonts w:eastAsia="Times New Roman" w:cs="Times New Roman"/>
                <w:sz w:val="28"/>
                <w:szCs w:val="20"/>
              </w:rPr>
              <w:t>.</w:t>
            </w:r>
            <w:r>
              <w:rPr>
                <w:lang w:eastAsia="ru-RU"/>
                <w:rFonts w:eastAsia="Times New Roman" w:cs="Times New Roman"/>
                <w:sz w:val="28"/>
                <w:szCs w:val="20"/>
                <w:rtl w:val="off"/>
              </w:rPr>
              <w:t>20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>
            <w:pPr>
              <w:snapToGrid w:val="0"/>
              <w:spacing w:line="100" w:lineRule="atLeast"/>
              <w:rPr>
                <w:lang w:eastAsia="ru-RU"/>
                <w:rFonts w:eastAsia="Times New Roman" w:cs="Times New Roman"/>
                <w:sz w:val="28"/>
                <w:szCs w:val="20"/>
              </w:rPr>
            </w:pPr>
            <w:r>
              <w:rPr>
                <w:lang w:eastAsia="ru-RU"/>
                <w:rFonts w:eastAsia="Times New Roman" w:cs="Times New Roman"/>
                <w:sz w:val="28"/>
                <w:szCs w:val="20"/>
              </w:rPr>
              <w:t>9.00-15.00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>
            <w:pPr>
              <w:snapToGrid w:val="0"/>
              <w:spacing w:line="100" w:lineRule="atLeast"/>
              <w:rPr>
                <w:lang w:eastAsia="ru-RU"/>
                <w:rFonts w:eastAsia="Times New Roman" w:cs="Times New Roman"/>
                <w:sz w:val="28"/>
                <w:szCs w:val="20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Проведен инструктаж. Изучение места хранения лекарственных препаратов.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snapToGrid w:val="0"/>
              <w:spacing w:line="100" w:lineRule="atLeast"/>
              <w:rPr>
                <w:lang w:eastAsia="ru-RU"/>
                <w:rFonts w:eastAsia="Times New Roman" w:cs="Times New Roman"/>
                <w:sz w:val="28"/>
                <w:szCs w:val="20"/>
              </w:rPr>
            </w:pPr>
          </w:p>
        </w:tc>
      </w:tr>
      <w:t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>
            <w:pPr>
              <w:spacing w:line="100" w:lineRule="atLeast"/>
              <w:rPr>
                <w:lang w:eastAsia="ru-RU"/>
                <w:rFonts w:eastAsia="Times New Roman" w:cs="Times New Roman"/>
                <w:sz w:val="28"/>
                <w:szCs w:val="20"/>
              </w:rPr>
            </w:pPr>
            <w:r>
              <w:rPr>
                <w:lang w:eastAsia="ru-RU"/>
                <w:rFonts w:eastAsia="Times New Roman" w:cs="Times New Roman"/>
                <w:sz w:val="28"/>
                <w:szCs w:val="28"/>
              </w:rPr>
              <w:t>2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>
            <w:pPr>
              <w:snapToGrid w:val="0"/>
              <w:spacing w:line="100" w:lineRule="atLeast"/>
              <w:rPr>
                <w:lang w:eastAsia="ru-RU"/>
                <w:rFonts w:eastAsia="Times New Roman" w:cs="Times New Roman"/>
                <w:sz w:val="28"/>
                <w:szCs w:val="20"/>
              </w:rPr>
            </w:pPr>
            <w:r>
              <w:rPr>
                <w:lang w:eastAsia="ru-RU"/>
                <w:rFonts w:eastAsia="Times New Roman" w:cs="Times New Roman"/>
                <w:sz w:val="28"/>
                <w:szCs w:val="20"/>
                <w:rtl w:val="off"/>
              </w:rPr>
              <w:t>1</w:t>
            </w:r>
            <w:r>
              <w:rPr>
                <w:lang w:eastAsia="ru-RU"/>
                <w:rFonts w:eastAsia="Times New Roman" w:cs="Times New Roman"/>
                <w:sz w:val="28"/>
                <w:szCs w:val="20"/>
              </w:rPr>
              <w:t>2.0</w:t>
            </w:r>
            <w:r>
              <w:rPr>
                <w:lang w:eastAsia="ru-RU"/>
                <w:rFonts w:eastAsia="Times New Roman" w:cs="Times New Roman"/>
                <w:sz w:val="28"/>
                <w:szCs w:val="20"/>
                <w:rtl w:val="off"/>
              </w:rPr>
              <w:t>5</w:t>
            </w:r>
            <w:r>
              <w:rPr>
                <w:lang w:eastAsia="ru-RU"/>
                <w:rFonts w:eastAsia="Times New Roman" w:cs="Times New Roman"/>
                <w:sz w:val="28"/>
                <w:szCs w:val="20"/>
              </w:rPr>
              <w:t>.</w:t>
            </w:r>
            <w:r>
              <w:rPr>
                <w:lang w:eastAsia="ru-RU"/>
                <w:rFonts w:eastAsia="Times New Roman" w:cs="Times New Roman"/>
                <w:sz w:val="28"/>
                <w:szCs w:val="20"/>
                <w:rtl w:val="off"/>
              </w:rPr>
              <w:t>20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>
            <w:pPr>
              <w:snapToGrid w:val="0"/>
              <w:spacing w:line="100" w:lineRule="atLeast"/>
              <w:rPr>
                <w:lang w:eastAsia="ru-RU"/>
                <w:rFonts w:eastAsia="Times New Roman" w:cs="Times New Roman"/>
                <w:sz w:val="28"/>
                <w:szCs w:val="20"/>
              </w:rPr>
            </w:pPr>
            <w:r>
              <w:rPr>
                <w:lang w:eastAsia="ru-RU"/>
                <w:rFonts w:eastAsia="Times New Roman" w:cs="Times New Roman"/>
                <w:sz w:val="28"/>
                <w:szCs w:val="20"/>
              </w:rPr>
              <w:t>9.00-15.00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>
            <w:pPr>
              <w:snapToGrid w:val="0"/>
              <w:spacing w:line="100" w:lineRule="atLeast"/>
              <w:rPr>
                <w:lang w:eastAsia="ru-RU"/>
                <w:rFonts w:eastAsia="Times New Roman" w:cs="Times New Roman"/>
                <w:sz w:val="28"/>
                <w:szCs w:val="20"/>
              </w:rPr>
            </w:pPr>
            <w:r>
              <w:rPr>
                <w:lang w:eastAsia="ru-RU"/>
                <w:sz w:val="28"/>
                <w:szCs w:val="28"/>
              </w:rPr>
              <w:t>Проанализирован ассортимент препаратов</w:t>
            </w:r>
            <w:r>
              <w:rPr>
                <w:rFonts w:cs="Times New Roman"/>
                <w:sz w:val="28"/>
                <w:szCs w:val="28"/>
              </w:rPr>
              <w:t xml:space="preserve"> влияющие на функцию сердечно-сосудистой  системы.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snapToGrid w:val="0"/>
              <w:spacing w:line="100" w:lineRule="atLeast"/>
              <w:rPr>
                <w:lang w:eastAsia="ru-RU"/>
                <w:rFonts w:eastAsia="Times New Roman" w:cs="Times New Roman"/>
                <w:sz w:val="28"/>
                <w:szCs w:val="20"/>
              </w:rPr>
            </w:pPr>
          </w:p>
        </w:tc>
      </w:tr>
      <w:t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>
            <w:pPr>
              <w:spacing w:line="100" w:lineRule="atLeast"/>
              <w:rPr>
                <w:lang w:eastAsia="ru-RU"/>
                <w:rFonts w:eastAsia="Times New Roman" w:cs="Times New Roman"/>
                <w:sz w:val="28"/>
                <w:szCs w:val="20"/>
              </w:rPr>
            </w:pPr>
            <w:r>
              <w:rPr>
                <w:lang w:eastAsia="ru-RU"/>
                <w:rFonts w:eastAsia="Times New Roman" w:cs="Times New Roman"/>
                <w:sz w:val="28"/>
                <w:szCs w:val="28"/>
              </w:rPr>
              <w:t>3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>
            <w:pPr>
              <w:snapToGrid w:val="0"/>
              <w:spacing w:line="100" w:lineRule="atLeast"/>
              <w:rPr>
                <w:lang w:eastAsia="ru-RU"/>
                <w:rFonts w:eastAsia="Times New Roman" w:cs="Times New Roman"/>
                <w:sz w:val="28"/>
                <w:szCs w:val="20"/>
              </w:rPr>
            </w:pPr>
            <w:r>
              <w:rPr>
                <w:lang w:eastAsia="ru-RU"/>
                <w:rFonts w:eastAsia="Times New Roman" w:cs="Times New Roman"/>
                <w:sz w:val="28"/>
                <w:szCs w:val="20"/>
                <w:rtl w:val="off"/>
              </w:rPr>
              <w:t>13</w:t>
            </w:r>
            <w:r>
              <w:rPr>
                <w:lang w:eastAsia="ru-RU"/>
                <w:rFonts w:eastAsia="Times New Roman" w:cs="Times New Roman"/>
                <w:sz w:val="28"/>
                <w:szCs w:val="20"/>
              </w:rPr>
              <w:t>.0</w:t>
            </w:r>
            <w:r>
              <w:rPr>
                <w:lang w:eastAsia="ru-RU"/>
                <w:rFonts w:eastAsia="Times New Roman" w:cs="Times New Roman"/>
                <w:sz w:val="28"/>
                <w:szCs w:val="20"/>
                <w:rtl w:val="off"/>
              </w:rPr>
              <w:t>5</w:t>
            </w:r>
            <w:r>
              <w:rPr>
                <w:lang w:eastAsia="ru-RU"/>
                <w:rFonts w:eastAsia="Times New Roman" w:cs="Times New Roman"/>
                <w:sz w:val="28"/>
                <w:szCs w:val="20"/>
              </w:rPr>
              <w:t>.</w:t>
            </w:r>
            <w:r>
              <w:rPr>
                <w:lang w:eastAsia="ru-RU"/>
                <w:rFonts w:eastAsia="Times New Roman" w:cs="Times New Roman"/>
                <w:sz w:val="28"/>
                <w:szCs w:val="20"/>
                <w:rtl w:val="off"/>
              </w:rPr>
              <w:t>20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>
            <w:pPr>
              <w:snapToGrid w:val="0"/>
              <w:spacing w:line="100" w:lineRule="atLeast"/>
              <w:rPr>
                <w:lang w:eastAsia="ru-RU"/>
                <w:rFonts w:eastAsia="Times New Roman" w:cs="Times New Roman"/>
                <w:sz w:val="28"/>
                <w:szCs w:val="20"/>
              </w:rPr>
            </w:pPr>
            <w:r>
              <w:rPr>
                <w:lang w:eastAsia="ru-RU"/>
                <w:rFonts w:eastAsia="Times New Roman" w:cs="Times New Roman"/>
                <w:sz w:val="28"/>
                <w:szCs w:val="20"/>
              </w:rPr>
              <w:t>9.00-15.00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>
            <w:pPr>
              <w:shd w:val="clear" w:color="auto" w:fill="FFFFFF"/>
              <w:spacing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lang w:eastAsia="ru-RU"/>
                <w:sz w:val="28"/>
                <w:szCs w:val="28"/>
              </w:rPr>
              <w:t>Проанализирован ассортимент препаратов</w:t>
            </w:r>
            <w:r>
              <w:rPr>
                <w:rFonts w:cs="Times New Roman"/>
                <w:sz w:val="28"/>
                <w:szCs w:val="28"/>
              </w:rPr>
              <w:t xml:space="preserve"> нитраты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snapToGrid w:val="0"/>
              <w:spacing w:line="100" w:lineRule="atLeast"/>
              <w:rPr>
                <w:lang w:eastAsia="ru-RU"/>
                <w:rFonts w:eastAsia="Times New Roman" w:cs="Times New Roman"/>
                <w:sz w:val="28"/>
                <w:szCs w:val="20"/>
              </w:rPr>
            </w:pPr>
          </w:p>
        </w:tc>
      </w:tr>
      <w:t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>
            <w:pPr>
              <w:spacing w:line="100" w:lineRule="atLeast"/>
              <w:rPr>
                <w:lang w:eastAsia="ru-RU"/>
                <w:rFonts w:eastAsia="Times New Roman" w:cs="Times New Roman"/>
                <w:sz w:val="28"/>
                <w:szCs w:val="20"/>
              </w:rPr>
            </w:pPr>
            <w:r>
              <w:rPr>
                <w:lang w:eastAsia="ru-RU"/>
                <w:rFonts w:eastAsia="Times New Roman" w:cs="Times New Roman"/>
                <w:sz w:val="28"/>
                <w:szCs w:val="28"/>
              </w:rPr>
              <w:t>4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>
            <w:pPr>
              <w:snapToGrid w:val="0"/>
              <w:spacing w:line="100" w:lineRule="atLeast"/>
              <w:rPr>
                <w:lang w:eastAsia="ru-RU"/>
                <w:rFonts w:eastAsia="Times New Roman" w:cs="Times New Roman"/>
                <w:sz w:val="28"/>
                <w:szCs w:val="20"/>
              </w:rPr>
            </w:pPr>
            <w:r>
              <w:rPr>
                <w:lang w:eastAsia="ru-RU"/>
                <w:rFonts w:eastAsia="Times New Roman" w:cs="Times New Roman"/>
                <w:sz w:val="28"/>
                <w:szCs w:val="20"/>
                <w:rtl w:val="off"/>
              </w:rPr>
              <w:t>1</w:t>
            </w:r>
            <w:r>
              <w:rPr>
                <w:lang w:eastAsia="ru-RU"/>
                <w:rFonts w:eastAsia="Times New Roman" w:cs="Times New Roman"/>
                <w:sz w:val="28"/>
                <w:szCs w:val="20"/>
              </w:rPr>
              <w:t>4.0</w:t>
            </w:r>
            <w:r>
              <w:rPr>
                <w:lang w:eastAsia="ru-RU"/>
                <w:rFonts w:eastAsia="Times New Roman" w:cs="Times New Roman"/>
                <w:sz w:val="28"/>
                <w:szCs w:val="20"/>
                <w:rtl w:val="off"/>
              </w:rPr>
              <w:t>5</w:t>
            </w:r>
            <w:r>
              <w:rPr>
                <w:lang w:eastAsia="ru-RU"/>
                <w:rFonts w:eastAsia="Times New Roman" w:cs="Times New Roman"/>
                <w:sz w:val="28"/>
                <w:szCs w:val="20"/>
              </w:rPr>
              <w:t>.</w:t>
            </w:r>
            <w:r>
              <w:rPr>
                <w:lang w:eastAsia="ru-RU"/>
                <w:rFonts w:eastAsia="Times New Roman" w:cs="Times New Roman"/>
                <w:sz w:val="28"/>
                <w:szCs w:val="20"/>
                <w:rtl w:val="off"/>
              </w:rPr>
              <w:t>20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>
            <w:pPr>
              <w:snapToGrid w:val="0"/>
              <w:spacing w:line="100" w:lineRule="atLeast"/>
              <w:rPr>
                <w:lang w:eastAsia="ru-RU"/>
                <w:rFonts w:eastAsia="Times New Roman" w:cs="Times New Roman"/>
                <w:sz w:val="28"/>
                <w:szCs w:val="20"/>
              </w:rPr>
            </w:pPr>
            <w:r>
              <w:rPr>
                <w:lang w:eastAsia="ru-RU"/>
                <w:rFonts w:eastAsia="Times New Roman" w:cs="Times New Roman"/>
                <w:sz w:val="28"/>
                <w:szCs w:val="20"/>
              </w:rPr>
              <w:t>9.00-15.00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>
            <w:pPr>
              <w:snapToGrid w:val="0"/>
              <w:spacing w:line="100" w:lineRule="atLeast"/>
              <w:rPr>
                <w:lang w:eastAsia="ru-RU"/>
                <w:rFonts w:eastAsia="Times New Roman" w:cs="Times New Roman"/>
                <w:sz w:val="28"/>
                <w:szCs w:val="20"/>
              </w:rPr>
            </w:pPr>
            <w:r>
              <w:rPr>
                <w:lang w:eastAsia="ru-RU"/>
                <w:sz w:val="28"/>
                <w:szCs w:val="28"/>
              </w:rPr>
              <w:t>Проанализирован ассортимент препаратов</w:t>
            </w:r>
            <w:r>
              <w:rPr>
                <w:rFonts w:cs="Times New Roman"/>
                <w:sz w:val="28"/>
                <w:szCs w:val="28"/>
              </w:rPr>
              <w:t xml:space="preserve"> блокаторы кальциевых каналов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snapToGrid w:val="0"/>
              <w:spacing w:line="100" w:lineRule="atLeast"/>
              <w:rPr>
                <w:lang w:eastAsia="ru-RU"/>
                <w:rFonts w:eastAsia="Times New Roman" w:cs="Times New Roman"/>
                <w:sz w:val="28"/>
                <w:szCs w:val="20"/>
              </w:rPr>
            </w:pPr>
          </w:p>
        </w:tc>
      </w:tr>
      <w:t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>
            <w:pPr>
              <w:spacing w:line="100" w:lineRule="atLeast"/>
              <w:rPr>
                <w:lang w:eastAsia="ru-RU"/>
                <w:rFonts w:eastAsia="Times New Roman" w:cs="Times New Roman"/>
                <w:sz w:val="28"/>
                <w:szCs w:val="20"/>
              </w:rPr>
            </w:pPr>
            <w:r>
              <w:rPr>
                <w:lang w:eastAsia="ru-RU"/>
                <w:rFonts w:eastAsia="Times New Roman" w:cs="Times New Roman"/>
                <w:sz w:val="28"/>
                <w:szCs w:val="28"/>
              </w:rPr>
              <w:t>5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>
            <w:pPr>
              <w:snapToGrid w:val="0"/>
              <w:spacing w:line="100" w:lineRule="atLeast"/>
              <w:rPr>
                <w:lang w:eastAsia="ru-RU"/>
                <w:rFonts w:eastAsia="Times New Roman" w:cs="Times New Roman"/>
                <w:sz w:val="28"/>
                <w:szCs w:val="20"/>
              </w:rPr>
            </w:pPr>
            <w:r>
              <w:rPr>
                <w:lang w:eastAsia="ru-RU"/>
                <w:rFonts w:eastAsia="Times New Roman" w:cs="Times New Roman"/>
                <w:sz w:val="28"/>
                <w:szCs w:val="20"/>
                <w:rtl w:val="off"/>
              </w:rPr>
              <w:t>1</w:t>
            </w:r>
            <w:r>
              <w:rPr>
                <w:lang w:eastAsia="ru-RU"/>
                <w:rFonts w:eastAsia="Times New Roman" w:cs="Times New Roman"/>
                <w:sz w:val="28"/>
                <w:szCs w:val="20"/>
              </w:rPr>
              <w:t>5.0</w:t>
            </w:r>
            <w:r>
              <w:rPr>
                <w:lang w:eastAsia="ru-RU"/>
                <w:rFonts w:eastAsia="Times New Roman" w:cs="Times New Roman"/>
                <w:sz w:val="28"/>
                <w:szCs w:val="20"/>
                <w:rtl w:val="off"/>
              </w:rPr>
              <w:t>5</w:t>
            </w:r>
            <w:r>
              <w:rPr>
                <w:lang w:eastAsia="ru-RU"/>
                <w:rFonts w:eastAsia="Times New Roman" w:cs="Times New Roman"/>
                <w:sz w:val="28"/>
                <w:szCs w:val="20"/>
              </w:rPr>
              <w:t>.</w:t>
            </w:r>
            <w:r>
              <w:rPr>
                <w:lang w:eastAsia="ru-RU"/>
                <w:rFonts w:eastAsia="Times New Roman" w:cs="Times New Roman"/>
                <w:sz w:val="28"/>
                <w:szCs w:val="20"/>
                <w:rtl w:val="off"/>
              </w:rPr>
              <w:t>20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>
            <w:pPr>
              <w:snapToGrid w:val="0"/>
              <w:spacing w:line="100" w:lineRule="atLeast"/>
              <w:rPr>
                <w:lang w:eastAsia="ru-RU"/>
                <w:rFonts w:eastAsia="Times New Roman" w:cs="Times New Roman"/>
                <w:sz w:val="28"/>
                <w:szCs w:val="20"/>
              </w:rPr>
            </w:pPr>
            <w:r>
              <w:rPr>
                <w:lang w:eastAsia="ru-RU"/>
                <w:rFonts w:eastAsia="Times New Roman" w:cs="Times New Roman"/>
                <w:sz w:val="28"/>
                <w:szCs w:val="20"/>
              </w:rPr>
              <w:t>9.00-15.00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>
            <w:pPr>
              <w:shd w:val="clear" w:color="auto" w:fill="FFFFFF"/>
              <w:spacing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lang w:eastAsia="ru-RU"/>
                <w:sz w:val="28"/>
                <w:szCs w:val="28"/>
              </w:rPr>
              <w:t xml:space="preserve">Проанализирован ассортимент препаратов </w:t>
            </w:r>
            <w:r>
              <w:rPr>
                <w:rFonts w:cs="Times New Roman"/>
                <w:sz w:val="28"/>
                <w:szCs w:val="28"/>
              </w:rPr>
              <w:t>бета-адреноблокаторы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snapToGrid w:val="0"/>
              <w:spacing w:line="100" w:lineRule="atLeast"/>
              <w:rPr>
                <w:lang w:eastAsia="ru-RU"/>
                <w:rFonts w:eastAsia="Times New Roman" w:cs="Times New Roman"/>
                <w:sz w:val="28"/>
                <w:szCs w:val="20"/>
              </w:rPr>
            </w:pPr>
          </w:p>
        </w:tc>
      </w:tr>
      <w:tr>
        <w:trPr>
          <w:trHeight w:val="77" w:hRule="atLeast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>
            <w:pPr>
              <w:spacing w:line="100" w:lineRule="atLeast"/>
              <w:rPr>
                <w:lang w:eastAsia="ru-RU"/>
                <w:rFonts w:eastAsia="Times New Roman" w:cs="Times New Roman"/>
                <w:sz w:val="28"/>
                <w:szCs w:val="20"/>
              </w:rPr>
            </w:pPr>
            <w:r>
              <w:rPr>
                <w:lang w:eastAsia="ru-RU"/>
                <w:rFonts w:eastAsia="Times New Roman" w:cs="Times New Roman"/>
                <w:sz w:val="28"/>
                <w:szCs w:val="28"/>
              </w:rPr>
              <w:t>6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>
            <w:pPr>
              <w:snapToGrid w:val="0"/>
              <w:spacing w:line="100" w:lineRule="atLeast"/>
              <w:rPr>
                <w:lang w:eastAsia="ru-RU"/>
                <w:rFonts w:eastAsia="Times New Roman" w:cs="Times New Roman"/>
                <w:sz w:val="28"/>
                <w:szCs w:val="20"/>
              </w:rPr>
            </w:pPr>
            <w:r>
              <w:rPr>
                <w:lang w:eastAsia="ru-RU"/>
                <w:rFonts w:eastAsia="Times New Roman" w:cs="Times New Roman"/>
                <w:sz w:val="28"/>
                <w:szCs w:val="20"/>
                <w:rtl w:val="off"/>
              </w:rPr>
              <w:t>1</w:t>
            </w:r>
            <w:r>
              <w:rPr>
                <w:lang w:eastAsia="ru-RU"/>
                <w:rFonts w:eastAsia="Times New Roman" w:cs="Times New Roman"/>
                <w:sz w:val="28"/>
                <w:szCs w:val="20"/>
              </w:rPr>
              <w:t>6.0</w:t>
            </w:r>
            <w:r>
              <w:rPr>
                <w:lang w:eastAsia="ru-RU"/>
                <w:rFonts w:eastAsia="Times New Roman" w:cs="Times New Roman"/>
                <w:sz w:val="28"/>
                <w:szCs w:val="20"/>
                <w:rtl w:val="off"/>
              </w:rPr>
              <w:t>5</w:t>
            </w:r>
            <w:r>
              <w:rPr>
                <w:lang w:eastAsia="ru-RU"/>
                <w:rFonts w:eastAsia="Times New Roman" w:cs="Times New Roman"/>
                <w:sz w:val="28"/>
                <w:szCs w:val="20"/>
              </w:rPr>
              <w:t>.</w:t>
            </w:r>
            <w:r>
              <w:rPr>
                <w:lang w:eastAsia="ru-RU"/>
                <w:rFonts w:eastAsia="Times New Roman" w:cs="Times New Roman"/>
                <w:sz w:val="28"/>
                <w:szCs w:val="20"/>
                <w:rtl w:val="off"/>
              </w:rPr>
              <w:t>20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>
            <w:pPr>
              <w:snapToGrid w:val="0"/>
              <w:spacing w:line="100" w:lineRule="atLeast"/>
              <w:rPr>
                <w:lang w:eastAsia="ru-RU"/>
                <w:rFonts w:eastAsia="Times New Roman" w:cs="Times New Roman"/>
                <w:sz w:val="28"/>
                <w:szCs w:val="20"/>
              </w:rPr>
            </w:pPr>
            <w:r>
              <w:rPr>
                <w:lang w:eastAsia="ru-RU"/>
                <w:rFonts w:eastAsia="Times New Roman" w:cs="Times New Roman"/>
                <w:sz w:val="28"/>
                <w:szCs w:val="20"/>
              </w:rPr>
              <w:t>9.00-15.00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>
            <w:pPr>
              <w:shd w:val="clear" w:color="auto" w:fill="FFFFFF"/>
              <w:spacing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lang w:eastAsia="ru-RU"/>
                <w:sz w:val="28"/>
                <w:szCs w:val="28"/>
              </w:rPr>
              <w:t>Проанализирован ассортимент препаратов</w:t>
            </w:r>
            <w:r>
              <w:rPr>
                <w:rFonts w:cs="Times New Roman"/>
                <w:sz w:val="28"/>
                <w:szCs w:val="28"/>
              </w:rPr>
              <w:t xml:space="preserve"> гиполипидемические средства. 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snapToGrid w:val="0"/>
              <w:spacing w:line="100" w:lineRule="atLeast"/>
              <w:rPr>
                <w:lang w:eastAsia="ru-RU"/>
                <w:rFonts w:eastAsia="Times New Roman" w:cs="Times New Roman"/>
                <w:sz w:val="28"/>
                <w:szCs w:val="20"/>
              </w:rPr>
            </w:pPr>
          </w:p>
        </w:tc>
      </w:tr>
      <w:t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>
            <w:pPr>
              <w:spacing w:line="100" w:lineRule="atLeast"/>
              <w:rPr>
                <w:lang w:eastAsia="ru-RU"/>
                <w:rFonts w:eastAsia="Times New Roman" w:cs="Times New Roman"/>
                <w:sz w:val="28"/>
                <w:szCs w:val="28"/>
              </w:rPr>
            </w:pPr>
            <w:r>
              <w:rPr>
                <w:lang w:eastAsia="ru-RU"/>
                <w:rFonts w:eastAsia="Times New Roman" w:cs="Times New Roman"/>
                <w:sz w:val="28"/>
                <w:szCs w:val="28"/>
              </w:rPr>
              <w:t>7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>
            <w:pPr>
              <w:snapToGrid w:val="0"/>
              <w:spacing w:line="100" w:lineRule="atLeast"/>
              <w:rPr>
                <w:lang w:eastAsia="ru-RU"/>
                <w:rFonts w:eastAsia="Times New Roman" w:cs="Times New Roman"/>
                <w:sz w:val="28"/>
                <w:szCs w:val="20"/>
              </w:rPr>
            </w:pPr>
            <w:r>
              <w:rPr>
                <w:lang w:eastAsia="ru-RU"/>
                <w:rFonts w:eastAsia="Times New Roman" w:cs="Times New Roman"/>
                <w:sz w:val="28"/>
                <w:szCs w:val="20"/>
                <w:rtl w:val="off"/>
              </w:rPr>
              <w:t>18</w:t>
            </w:r>
            <w:r>
              <w:rPr>
                <w:lang w:eastAsia="ru-RU"/>
                <w:rFonts w:eastAsia="Times New Roman" w:cs="Times New Roman"/>
                <w:sz w:val="28"/>
                <w:szCs w:val="20"/>
              </w:rPr>
              <w:t>.0</w:t>
            </w:r>
            <w:r>
              <w:rPr>
                <w:lang w:eastAsia="ru-RU"/>
                <w:rFonts w:eastAsia="Times New Roman" w:cs="Times New Roman"/>
                <w:sz w:val="28"/>
                <w:szCs w:val="20"/>
                <w:rtl w:val="off"/>
              </w:rPr>
              <w:t>4</w:t>
            </w:r>
            <w:r>
              <w:rPr>
                <w:lang w:eastAsia="ru-RU"/>
                <w:rFonts w:eastAsia="Times New Roman" w:cs="Times New Roman"/>
                <w:sz w:val="28"/>
                <w:szCs w:val="20"/>
              </w:rPr>
              <w:t>.</w:t>
            </w:r>
            <w:r>
              <w:rPr>
                <w:lang w:eastAsia="ru-RU"/>
                <w:rFonts w:eastAsia="Times New Roman" w:cs="Times New Roman"/>
                <w:sz w:val="28"/>
                <w:szCs w:val="20"/>
                <w:rtl w:val="off"/>
              </w:rPr>
              <w:t>20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>
            <w:pPr>
              <w:snapToGrid w:val="0"/>
              <w:spacing w:line="100" w:lineRule="atLeast"/>
              <w:rPr>
                <w:lang w:eastAsia="ru-RU"/>
                <w:rFonts w:eastAsia="Times New Roman" w:cs="Times New Roman"/>
                <w:sz w:val="28"/>
                <w:szCs w:val="20"/>
              </w:rPr>
            </w:pPr>
            <w:r>
              <w:rPr>
                <w:lang w:eastAsia="ru-RU"/>
                <w:rFonts w:eastAsia="Times New Roman" w:cs="Times New Roman"/>
                <w:sz w:val="28"/>
                <w:szCs w:val="20"/>
              </w:rPr>
              <w:t>9.00-15.00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>
            <w:pPr>
              <w:snapToGrid w:val="0"/>
              <w:spacing w:line="100" w:lineRule="atLeast"/>
              <w:rPr>
                <w:lang w:eastAsia="ru-RU"/>
                <w:rFonts w:eastAsia="Times New Roman" w:cs="Times New Roman"/>
                <w:sz w:val="28"/>
                <w:szCs w:val="20"/>
              </w:rPr>
            </w:pPr>
            <w:r>
              <w:rPr>
                <w:lang w:eastAsia="ru-RU"/>
                <w:sz w:val="28"/>
                <w:szCs w:val="28"/>
              </w:rPr>
              <w:t xml:space="preserve">Проанализирован ассортимент препаратов </w:t>
            </w:r>
            <w:r>
              <w:rPr>
                <w:rFonts w:cs="Times New Roman"/>
                <w:sz w:val="28"/>
                <w:szCs w:val="28"/>
              </w:rPr>
              <w:t>статины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snapToGrid w:val="0"/>
              <w:spacing w:line="100" w:lineRule="atLeast"/>
              <w:rPr>
                <w:lang w:eastAsia="ru-RU"/>
                <w:rFonts w:eastAsia="Times New Roman" w:cs="Times New Roman"/>
                <w:sz w:val="28"/>
                <w:szCs w:val="20"/>
              </w:rPr>
            </w:pPr>
          </w:p>
        </w:tc>
      </w:tr>
      <w:t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>
            <w:pPr>
              <w:spacing w:line="100" w:lineRule="atLeast"/>
              <w:rPr>
                <w:lang w:eastAsia="ru-RU"/>
                <w:rFonts w:eastAsia="Times New Roman" w:cs="Times New Roman"/>
                <w:sz w:val="28"/>
                <w:szCs w:val="28"/>
              </w:rPr>
            </w:pPr>
            <w:r>
              <w:rPr>
                <w:lang w:eastAsia="ru-RU"/>
                <w:rFonts w:eastAsia="Times New Roman" w:cs="Times New Roman"/>
                <w:sz w:val="28"/>
                <w:szCs w:val="28"/>
              </w:rPr>
              <w:t>8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>
            <w:pPr>
              <w:snapToGrid w:val="0"/>
              <w:spacing w:line="100" w:lineRule="atLeast"/>
              <w:rPr>
                <w:lang w:eastAsia="ru-RU"/>
                <w:rFonts w:eastAsia="Times New Roman" w:cs="Times New Roman"/>
                <w:sz w:val="28"/>
                <w:szCs w:val="20"/>
              </w:rPr>
            </w:pPr>
            <w:r>
              <w:rPr>
                <w:lang w:eastAsia="ru-RU"/>
                <w:rFonts w:eastAsia="Times New Roman" w:cs="Times New Roman"/>
                <w:sz w:val="28"/>
                <w:szCs w:val="20"/>
                <w:rtl w:val="off"/>
              </w:rPr>
              <w:t>1</w:t>
            </w:r>
            <w:r>
              <w:rPr>
                <w:lang w:eastAsia="ru-RU"/>
                <w:rFonts w:eastAsia="Times New Roman" w:cs="Times New Roman"/>
                <w:sz w:val="28"/>
                <w:szCs w:val="20"/>
              </w:rPr>
              <w:t>9.0</w:t>
            </w:r>
            <w:r>
              <w:rPr>
                <w:lang w:eastAsia="ru-RU"/>
                <w:rFonts w:eastAsia="Times New Roman" w:cs="Times New Roman"/>
                <w:sz w:val="28"/>
                <w:szCs w:val="20"/>
                <w:rtl w:val="off"/>
              </w:rPr>
              <w:t>5.20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>
            <w:pPr>
              <w:snapToGrid w:val="0"/>
              <w:spacing w:line="100" w:lineRule="atLeast"/>
              <w:rPr>
                <w:lang w:eastAsia="ru-RU"/>
                <w:rFonts w:eastAsia="Times New Roman" w:cs="Times New Roman"/>
                <w:sz w:val="28"/>
                <w:szCs w:val="20"/>
              </w:rPr>
            </w:pPr>
            <w:r>
              <w:rPr>
                <w:lang w:eastAsia="ru-RU"/>
                <w:rFonts w:eastAsia="Times New Roman" w:cs="Times New Roman"/>
                <w:sz w:val="28"/>
                <w:szCs w:val="20"/>
              </w:rPr>
              <w:t>9.00-15.00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>
            <w:pPr>
              <w:snapToGrid w:val="0"/>
              <w:spacing w:line="100" w:lineRule="atLeast"/>
              <w:rPr>
                <w:lang w:eastAsia="ru-RU"/>
                <w:rFonts w:eastAsia="Times New Roman" w:cs="Times New Roman"/>
                <w:sz w:val="28"/>
                <w:szCs w:val="20"/>
              </w:rPr>
            </w:pPr>
            <w:r>
              <w:rPr>
                <w:lang w:eastAsia="ru-RU"/>
                <w:sz w:val="28"/>
                <w:szCs w:val="28"/>
              </w:rPr>
              <w:t xml:space="preserve">Проанализирован ассортимент препаратов </w:t>
            </w:r>
            <w:r>
              <w:rPr>
                <w:rFonts w:cs="Times New Roman"/>
                <w:sz w:val="28"/>
                <w:szCs w:val="28"/>
              </w:rPr>
              <w:t>ПНЖК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snapToGrid w:val="0"/>
              <w:spacing w:line="100" w:lineRule="atLeast"/>
              <w:rPr>
                <w:lang w:eastAsia="ru-RU"/>
                <w:rFonts w:eastAsia="Times New Roman" w:cs="Times New Roman"/>
                <w:sz w:val="28"/>
                <w:szCs w:val="20"/>
              </w:rPr>
            </w:pPr>
          </w:p>
        </w:tc>
      </w:tr>
      <w:t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>
            <w:pPr>
              <w:spacing w:line="100" w:lineRule="atLeast"/>
              <w:rPr>
                <w:lang w:eastAsia="ru-RU"/>
                <w:rFonts w:eastAsia="Times New Roman" w:cs="Times New Roman"/>
                <w:sz w:val="28"/>
                <w:szCs w:val="28"/>
              </w:rPr>
            </w:pPr>
            <w:r>
              <w:rPr>
                <w:lang w:eastAsia="ru-RU"/>
                <w:rFonts w:eastAsia="Times New Roman" w:cs="Times New Roman"/>
                <w:sz w:val="28"/>
                <w:szCs w:val="28"/>
              </w:rPr>
              <w:t>9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>
            <w:pPr>
              <w:snapToGrid w:val="0"/>
              <w:spacing w:line="100" w:lineRule="atLeast"/>
              <w:rPr>
                <w:lang w:eastAsia="ru-RU"/>
                <w:rFonts w:eastAsia="Times New Roman" w:cs="Times New Roman"/>
                <w:sz w:val="28"/>
                <w:szCs w:val="20"/>
              </w:rPr>
            </w:pPr>
            <w:r>
              <w:rPr>
                <w:lang w:eastAsia="ru-RU"/>
                <w:rFonts w:eastAsia="Times New Roman" w:cs="Times New Roman"/>
                <w:sz w:val="28"/>
                <w:szCs w:val="20"/>
                <w:rtl w:val="off"/>
              </w:rPr>
              <w:t>2</w:t>
            </w:r>
            <w:r>
              <w:rPr>
                <w:lang w:eastAsia="ru-RU"/>
                <w:rFonts w:eastAsia="Times New Roman" w:cs="Times New Roman"/>
                <w:sz w:val="28"/>
                <w:szCs w:val="20"/>
              </w:rPr>
              <w:t>0.0</w:t>
            </w:r>
            <w:r>
              <w:rPr>
                <w:lang w:eastAsia="ru-RU"/>
                <w:rFonts w:eastAsia="Times New Roman" w:cs="Times New Roman"/>
                <w:sz w:val="28"/>
                <w:szCs w:val="20"/>
                <w:rtl w:val="off"/>
              </w:rPr>
              <w:t>5</w:t>
            </w:r>
            <w:r>
              <w:rPr>
                <w:lang w:eastAsia="ru-RU"/>
                <w:rFonts w:eastAsia="Times New Roman" w:cs="Times New Roman"/>
                <w:sz w:val="28"/>
                <w:szCs w:val="20"/>
              </w:rPr>
              <w:t>.</w:t>
            </w:r>
            <w:r>
              <w:rPr>
                <w:lang w:eastAsia="ru-RU"/>
                <w:rFonts w:eastAsia="Times New Roman" w:cs="Times New Roman"/>
                <w:sz w:val="28"/>
                <w:szCs w:val="20"/>
                <w:rtl w:val="off"/>
              </w:rPr>
              <w:t>20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>
            <w:pPr>
              <w:snapToGrid w:val="0"/>
              <w:spacing w:line="100" w:lineRule="atLeast"/>
              <w:rPr>
                <w:lang w:eastAsia="ru-RU"/>
                <w:rFonts w:eastAsia="Times New Roman" w:cs="Times New Roman"/>
                <w:sz w:val="28"/>
                <w:szCs w:val="20"/>
              </w:rPr>
            </w:pPr>
            <w:r>
              <w:rPr>
                <w:lang w:eastAsia="ru-RU"/>
                <w:rFonts w:eastAsia="Times New Roman" w:cs="Times New Roman"/>
                <w:sz w:val="28"/>
                <w:szCs w:val="20"/>
              </w:rPr>
              <w:t>9.00-15.00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>
            <w:pPr>
              <w:snapToGrid w:val="0"/>
              <w:spacing w:line="100" w:lineRule="atLeast"/>
              <w:rPr>
                <w:lang w:eastAsia="ru-RU"/>
                <w:rFonts w:eastAsia="Times New Roman" w:cs="Times New Roman"/>
                <w:sz w:val="28"/>
                <w:szCs w:val="20"/>
              </w:rPr>
            </w:pPr>
            <w:r>
              <w:rPr>
                <w:lang w:eastAsia="ru-RU"/>
                <w:sz w:val="28"/>
                <w:szCs w:val="28"/>
              </w:rPr>
              <w:t xml:space="preserve">Проанализирован ассортимент препаратов </w:t>
            </w:r>
            <w:r>
              <w:rPr>
                <w:rFonts w:cs="Times New Roman"/>
                <w:sz w:val="28"/>
                <w:szCs w:val="28"/>
              </w:rPr>
              <w:t>биогенные стимуляторы,  антиоксиданты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snapToGrid w:val="0"/>
              <w:spacing w:line="100" w:lineRule="atLeast"/>
              <w:rPr>
                <w:lang w:eastAsia="ru-RU"/>
                <w:rFonts w:eastAsia="Times New Roman" w:cs="Times New Roman"/>
                <w:sz w:val="28"/>
                <w:szCs w:val="20"/>
              </w:rPr>
            </w:pPr>
          </w:p>
        </w:tc>
      </w:tr>
      <w:t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>
            <w:pPr>
              <w:spacing w:line="100" w:lineRule="atLeast"/>
              <w:rPr>
                <w:lang w:eastAsia="ru-RU"/>
                <w:rFonts w:eastAsia="Times New Roman" w:cs="Times New Roman"/>
                <w:sz w:val="28"/>
                <w:szCs w:val="28"/>
              </w:rPr>
            </w:pPr>
            <w:r>
              <w:rPr>
                <w:lang w:eastAsia="ru-RU"/>
                <w:rFonts w:eastAsia="Times New Roman" w:cs="Times New Roman"/>
                <w:sz w:val="28"/>
                <w:szCs w:val="28"/>
              </w:rPr>
              <w:t>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>
            <w:pPr>
              <w:snapToGrid w:val="0"/>
              <w:spacing w:line="100" w:lineRule="atLeast"/>
              <w:rPr>
                <w:lang w:eastAsia="ru-RU"/>
                <w:rFonts w:eastAsia="Times New Roman" w:cs="Times New Roman"/>
                <w:sz w:val="28"/>
                <w:szCs w:val="20"/>
              </w:rPr>
            </w:pPr>
            <w:r>
              <w:rPr>
                <w:lang w:eastAsia="ru-RU"/>
                <w:rFonts w:eastAsia="Times New Roman" w:cs="Times New Roman"/>
                <w:sz w:val="28"/>
                <w:szCs w:val="20"/>
              </w:rPr>
              <w:t>2</w:t>
            </w:r>
            <w:r>
              <w:rPr>
                <w:lang w:eastAsia="ru-RU"/>
                <w:rFonts w:eastAsia="Times New Roman" w:cs="Times New Roman"/>
                <w:sz w:val="28"/>
                <w:szCs w:val="20"/>
                <w:rtl w:val="off"/>
              </w:rPr>
              <w:t>1</w:t>
            </w:r>
            <w:r>
              <w:rPr>
                <w:lang w:eastAsia="ru-RU"/>
                <w:rFonts w:eastAsia="Times New Roman" w:cs="Times New Roman"/>
                <w:sz w:val="28"/>
                <w:szCs w:val="20"/>
              </w:rPr>
              <w:t>.05.</w:t>
            </w:r>
            <w:r>
              <w:rPr>
                <w:lang w:eastAsia="ru-RU"/>
                <w:rFonts w:eastAsia="Times New Roman" w:cs="Times New Roman"/>
                <w:sz w:val="28"/>
                <w:szCs w:val="20"/>
                <w:rtl w:val="off"/>
              </w:rPr>
              <w:t>20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>
            <w:pPr>
              <w:snapToGrid w:val="0"/>
              <w:spacing w:line="100" w:lineRule="atLeast"/>
              <w:rPr>
                <w:lang w:eastAsia="ru-RU"/>
                <w:rFonts w:eastAsia="Times New Roman" w:cs="Times New Roman"/>
                <w:sz w:val="28"/>
                <w:szCs w:val="20"/>
              </w:rPr>
            </w:pPr>
            <w:r>
              <w:rPr>
                <w:lang w:eastAsia="ru-RU"/>
                <w:rFonts w:eastAsia="Times New Roman" w:cs="Times New Roman"/>
                <w:sz w:val="28"/>
                <w:szCs w:val="20"/>
              </w:rPr>
              <w:t>9.00-15.00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>
            <w:pPr>
              <w:snapToGrid w:val="0"/>
              <w:spacing w:line="100" w:lineRule="atLeast"/>
              <w:rPr>
                <w:lang w:eastAsia="ru-RU"/>
                <w:rFonts w:eastAsia="Times New Roman" w:cs="Times New Roman"/>
                <w:sz w:val="28"/>
                <w:szCs w:val="20"/>
              </w:rPr>
            </w:pPr>
            <w:r>
              <w:rPr>
                <w:lang w:eastAsia="ru-RU"/>
                <w:sz w:val="28"/>
                <w:szCs w:val="28"/>
              </w:rPr>
              <w:t>Проанализирован ассортимент препаратов</w:t>
            </w:r>
            <w:r>
              <w:rPr>
                <w:rFonts w:cs="Times New Roman"/>
                <w:sz w:val="28"/>
                <w:szCs w:val="28"/>
              </w:rPr>
              <w:t xml:space="preserve"> улучшающие метаболические процессы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snapToGrid w:val="0"/>
              <w:spacing w:line="100" w:lineRule="atLeast"/>
              <w:rPr>
                <w:lang w:eastAsia="ru-RU"/>
                <w:rFonts w:eastAsia="Times New Roman" w:cs="Times New Roman"/>
                <w:sz w:val="28"/>
                <w:szCs w:val="20"/>
              </w:rPr>
            </w:pPr>
          </w:p>
        </w:tc>
      </w:tr>
      <w:t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>
            <w:pPr>
              <w:spacing w:line="100" w:lineRule="atLeast"/>
              <w:rPr>
                <w:lang w:eastAsia="ru-RU"/>
                <w:rFonts w:eastAsia="Times New Roman" w:cs="Times New Roman"/>
                <w:sz w:val="28"/>
                <w:szCs w:val="28"/>
              </w:rPr>
            </w:pPr>
            <w:r>
              <w:rPr>
                <w:lang w:eastAsia="ru-RU"/>
                <w:rFonts w:eastAsia="Times New Roman" w:cs="Times New Roman"/>
                <w:sz w:val="28"/>
                <w:szCs w:val="28"/>
              </w:rPr>
              <w:t>11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>
            <w:pPr>
              <w:snapToGrid w:val="0"/>
              <w:spacing w:line="100" w:lineRule="atLeast"/>
              <w:rPr>
                <w:lang w:eastAsia="ru-RU"/>
                <w:rFonts w:eastAsia="Times New Roman" w:cs="Times New Roman"/>
                <w:sz w:val="28"/>
                <w:szCs w:val="20"/>
              </w:rPr>
            </w:pPr>
            <w:r>
              <w:rPr>
                <w:lang w:eastAsia="ru-RU"/>
                <w:rFonts w:eastAsia="Times New Roman" w:cs="Times New Roman"/>
                <w:sz w:val="28"/>
                <w:szCs w:val="20"/>
                <w:rtl w:val="off"/>
              </w:rPr>
              <w:t>22</w:t>
            </w:r>
            <w:r>
              <w:rPr>
                <w:lang w:eastAsia="ru-RU"/>
                <w:rFonts w:eastAsia="Times New Roman" w:cs="Times New Roman"/>
                <w:sz w:val="28"/>
                <w:szCs w:val="20"/>
              </w:rPr>
              <w:t>.05.</w:t>
            </w:r>
            <w:r>
              <w:rPr>
                <w:lang w:eastAsia="ru-RU"/>
                <w:rFonts w:eastAsia="Times New Roman" w:cs="Times New Roman"/>
                <w:sz w:val="28"/>
                <w:szCs w:val="20"/>
                <w:rtl w:val="off"/>
              </w:rPr>
              <w:t>20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>
            <w:pPr>
              <w:snapToGrid w:val="0"/>
              <w:spacing w:line="100" w:lineRule="atLeast"/>
              <w:rPr>
                <w:lang w:eastAsia="ru-RU"/>
                <w:rFonts w:eastAsia="Times New Roman" w:cs="Times New Roman"/>
                <w:sz w:val="28"/>
                <w:szCs w:val="20"/>
              </w:rPr>
            </w:pPr>
            <w:r>
              <w:rPr>
                <w:lang w:eastAsia="ru-RU"/>
                <w:rFonts w:eastAsia="Times New Roman" w:cs="Times New Roman"/>
                <w:sz w:val="28"/>
                <w:szCs w:val="20"/>
              </w:rPr>
              <w:t>9.00-15.00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>
            <w:pPr>
              <w:snapToGrid w:val="0"/>
              <w:spacing w:line="100" w:lineRule="atLeast"/>
              <w:rPr>
                <w:lang w:eastAsia="ru-RU"/>
                <w:rFonts w:eastAsia="Times New Roman" w:cs="Times New Roman"/>
                <w:sz w:val="28"/>
                <w:szCs w:val="20"/>
              </w:rPr>
            </w:pPr>
            <w:r>
              <w:rPr>
                <w:lang w:eastAsia="ru-RU"/>
                <w:sz w:val="28"/>
                <w:szCs w:val="28"/>
              </w:rPr>
              <w:t>Проанализирован ассортимент препаратов д</w:t>
            </w:r>
            <w:r>
              <w:rPr>
                <w:rFonts w:cs="Times New Roman"/>
                <w:sz w:val="28"/>
                <w:szCs w:val="28"/>
              </w:rPr>
              <w:t>иуретики в терапии сердечно-сосудистых заболеваний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snapToGrid w:val="0"/>
              <w:spacing w:line="100" w:lineRule="atLeast"/>
              <w:rPr>
                <w:lang w:eastAsia="ru-RU"/>
                <w:rFonts w:eastAsia="Times New Roman" w:cs="Times New Roman"/>
                <w:sz w:val="28"/>
                <w:szCs w:val="20"/>
              </w:rPr>
            </w:pPr>
          </w:p>
        </w:tc>
      </w:tr>
    </w:tbl>
    <w:p>
      <w:pPr>
        <w:spacing w:line="100" w:lineRule="atLeast"/>
        <w:rPr>
          <w:rFonts w:cs="Times New Roman"/>
          <w:sz w:val="28"/>
          <w:szCs w:val="28"/>
        </w:rPr>
      </w:pPr>
    </w:p>
    <w:p>
      <w:pPr>
        <w:jc w:val="both"/>
        <w:tabs>
          <w:tab w:val="left" w:pos="708"/>
          <w:tab w:val="left" w:pos="1416"/>
          <w:tab w:val="left" w:pos="2124"/>
          <w:tab w:val="left" w:pos="2832"/>
          <w:tab w:val="center" w:pos="4677"/>
        </w:tabs>
        <w:rPr>
          <w:b/>
          <w:bCs/>
          <w:sz w:val="28"/>
          <w:szCs w:val="22"/>
        </w:rPr>
      </w:pPr>
    </w:p>
    <w:p>
      <w:pPr>
        <w:shd w:val="clear" w:color="auto" w:fill="FFFFFF"/>
        <w:spacing w:line="100" w:lineRule="atLeast"/>
        <w:rPr>
          <w:rFonts w:cs="Times New Roman"/>
          <w:b/>
          <w:sz w:val="28"/>
          <w:szCs w:val="28"/>
        </w:rPr>
      </w:pPr>
    </w:p>
    <w:p>
      <w:pPr>
        <w:shd w:val="clear" w:color="auto" w:fill="FFFFFF"/>
        <w:spacing w:line="100" w:lineRule="atLeast"/>
        <w:rPr>
          <w:rFonts w:cs="Times New Roman"/>
          <w:b/>
          <w:sz w:val="28"/>
          <w:szCs w:val="28"/>
        </w:rPr>
      </w:pPr>
    </w:p>
    <w:p>
      <w:pPr>
        <w:jc w:val="center"/>
        <w:rPr>
          <w:rtl w:val="off"/>
        </w:rPr>
      </w:pPr>
    </w:p>
    <w:p>
      <w:pPr>
        <w:jc w:val="center"/>
      </w:pPr>
      <w:r>
        <w:drawing>
          <wp:inline distT="0" distB="0" distL="0" distR="0">
            <wp:extent cx="4029075" cy="6438900"/>
            <wp:effectExtent l="0" t="0" r="0" b="0"/>
            <wp:docPr id="1025" name="shape102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6438900"/>
                    </a:xfrm>
                    <a:prstGeom prst="rect"/>
                  </pic:spPr>
                </pic:pic>
              </a:graphicData>
            </a:graphic>
          </wp:inline>
        </w:drawing>
      </w:r>
      <w:r>
        <w:br w:type="page"/>
      </w:r>
    </w:p>
    <w:p>
      <w:pPr>
        <w:jc w:val="center"/>
      </w:pPr>
      <w:r>
        <w:drawing>
          <wp:inline distT="0" distB="0" distL="0" distR="0">
            <wp:extent cx="6000750" cy="6438900"/>
            <wp:effectExtent l="0" t="0" r="0" b="0"/>
            <wp:docPr id="1026" name="shape102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6438900"/>
                    </a:xfrm>
                    <a:prstGeom prst="rect"/>
                  </pic:spPr>
                </pic:pic>
              </a:graphicData>
            </a:graphic>
          </wp:inline>
        </w:drawing>
      </w:r>
      <w:r>
        <w:br w:type="page"/>
      </w:r>
    </w:p>
    <w:p>
      <w:pPr>
        <w:jc w:val="center"/>
      </w:pPr>
      <w:r>
        <w:drawing>
          <wp:inline distT="0" distB="0" distL="0" distR="0">
            <wp:extent cx="4343400" cy="6438900"/>
            <wp:effectExtent l="0" t="0" r="0" b="0"/>
            <wp:docPr id="1027" name="shape102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6438900"/>
                    </a:xfrm>
                    <a:prstGeom prst="rect"/>
                  </pic:spPr>
                </pic:pic>
              </a:graphicData>
            </a:graphic>
          </wp:inline>
        </w:drawing>
      </w:r>
      <w:r>
        <w:br w:type="page"/>
      </w:r>
    </w:p>
    <w:p>
      <w:pPr>
        <w:jc w:val="center"/>
      </w:pPr>
      <w:r>
        <w:drawing>
          <wp:inline distT="0" distB="0" distL="0" distR="0">
            <wp:extent cx="5619750" cy="6438900"/>
            <wp:effectExtent l="0" t="0" r="0" b="0"/>
            <wp:docPr id="1028" name="shape102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6438900"/>
                    </a:xfrm>
                    <a:prstGeom prst="rect"/>
                  </pic:spPr>
                </pic:pic>
              </a:graphicData>
            </a:graphic>
          </wp:inline>
        </w:drawing>
      </w:r>
      <w:r>
        <w:br w:type="page"/>
      </w:r>
    </w:p>
    <w:p>
      <w:pPr>
        <w:jc w:val="center"/>
      </w:pPr>
      <w:r>
        <w:drawing>
          <wp:inline distT="0" distB="0" distL="0" distR="0">
            <wp:extent cx="4981575" cy="6438900"/>
            <wp:effectExtent l="0" t="0" r="0" b="0"/>
            <wp:docPr id="1029" name="shape1029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6438900"/>
                    </a:xfrm>
                    <a:prstGeom prst="rect"/>
                  </pic:spPr>
                </pic:pic>
              </a:graphicData>
            </a:graphic>
          </wp:inline>
        </w:drawing>
      </w:r>
      <w:r>
        <w:br w:type="page"/>
      </w:r>
    </w:p>
    <w:p>
      <w:pPr>
        <w:jc w:val="center"/>
      </w:pPr>
      <w:r>
        <w:drawing>
          <wp:inline distT="0" distB="0" distL="0" distR="0">
            <wp:extent cx="4143375" cy="6438900"/>
            <wp:effectExtent l="0" t="0" r="0" b="0"/>
            <wp:docPr id="1030" name="shape1030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6438900"/>
                    </a:xfrm>
                    <a:prstGeom prst="rect"/>
                  </pic:spPr>
                </pic:pic>
              </a:graphicData>
            </a:graphic>
          </wp:inline>
        </w:drawing>
      </w:r>
      <w:r>
        <w:br w:type="page"/>
      </w:r>
    </w:p>
    <w:p>
      <w:pPr>
        <w:jc w:val="center"/>
      </w:pPr>
      <w:r>
        <w:drawing>
          <wp:inline distT="0" distB="0" distL="0" distR="0">
            <wp:extent cx="6438900" cy="6438900"/>
            <wp:effectExtent l="0" t="0" r="0" b="0"/>
            <wp:docPr id="1031" name="shape1031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6438900"/>
                    </a:xfrm>
                    <a:prstGeom prst="rect"/>
                  </pic:spPr>
                </pic:pic>
              </a:graphicData>
            </a:graphic>
          </wp:inline>
        </w:drawing>
      </w:r>
      <w:r>
        <w:br w:type="page"/>
      </w:r>
    </w:p>
    <w:p>
      <w:pPr>
        <w:jc w:val="center"/>
      </w:pPr>
      <w:r>
        <w:drawing>
          <wp:inline distT="0" distB="0" distL="0" distR="0">
            <wp:extent cx="4238625" cy="6438900"/>
            <wp:effectExtent l="0" t="0" r="0" b="0"/>
            <wp:docPr id="1032" name="shape1032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6438900"/>
                    </a:xfrm>
                    <a:prstGeom prst="rect"/>
                  </pic:spPr>
                </pic:pic>
              </a:graphicData>
            </a:graphic>
          </wp:inline>
        </w:drawing>
      </w:r>
      <w:r>
        <w:br w:type="page"/>
      </w:r>
    </w:p>
    <w:p>
      <w:pPr>
        <w:jc w:val="center"/>
      </w:pPr>
      <w:r>
        <w:drawing>
          <wp:inline distT="0" distB="0" distL="0" distR="0">
            <wp:extent cx="5057775" cy="6438900"/>
            <wp:effectExtent l="0" t="0" r="0" b="0"/>
            <wp:docPr id="1033" name="shape1033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6438900"/>
                    </a:xfrm>
                    <a:prstGeom prst="rect"/>
                  </pic:spPr>
                </pic:pic>
              </a:graphicData>
            </a:graphic>
          </wp:inline>
        </w:drawing>
      </w:r>
      <w:r>
        <w:br w:type="page"/>
      </w:r>
    </w:p>
    <w:p>
      <w:pPr>
        <w:jc w:val="center"/>
      </w:pPr>
      <w:r>
        <w:drawing>
          <wp:inline distT="0" distB="0" distL="0" distR="0">
            <wp:extent cx="4419600" cy="6438900"/>
            <wp:effectExtent l="0" t="0" r="0" b="0"/>
            <wp:docPr id="1034" name="shape1034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6438900"/>
                    </a:xfrm>
                    <a:prstGeom prst="rect"/>
                  </pic:spPr>
                </pic:pic>
              </a:graphicData>
            </a:graphic>
          </wp:inline>
        </w:drawing>
      </w:r>
      <w:r>
        <w:br w:type="page"/>
      </w:r>
    </w:p>
    <w:p>
      <w:pPr>
        <w:jc w:val="center"/>
      </w:pPr>
      <w:r>
        <w:drawing>
          <wp:inline distT="0" distB="0" distL="0" distR="0">
            <wp:extent cx="5010150" cy="6438900"/>
            <wp:effectExtent l="0" t="0" r="0" b="0"/>
            <wp:docPr id="1035" name="shape103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6438900"/>
                    </a:xfrm>
                    <a:prstGeom prst="rect"/>
                  </pic:spPr>
                </pic:pic>
              </a:graphicData>
            </a:graphic>
          </wp:inline>
        </w:drawing>
      </w:r>
      <w:r>
        <w:br w:type="page"/>
      </w:r>
    </w:p>
    <w:p>
      <w:pPr>
        <w:jc w:val="center"/>
      </w:pPr>
      <w:r>
        <w:drawing>
          <wp:inline distT="0" distB="0" distL="0" distR="0">
            <wp:extent cx="4505325" cy="6438900"/>
            <wp:effectExtent l="0" t="0" r="0" b="0"/>
            <wp:docPr id="1036" name="shape103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6438900"/>
                    </a:xfrm>
                    <a:prstGeom prst="rect"/>
                  </pic:spPr>
                </pic:pic>
              </a:graphicData>
            </a:graphic>
          </wp:inline>
        </w:drawing>
      </w:r>
      <w:r>
        <w:br w:type="page"/>
      </w:r>
    </w:p>
    <w:p>
      <w:pPr>
        <w:jc w:val="center"/>
      </w:pPr>
      <w:r>
        <w:drawing>
          <wp:inline distT="0" distB="0" distL="0" distR="0">
            <wp:extent cx="6200775" cy="6438900"/>
            <wp:effectExtent l="0" t="0" r="0" b="0"/>
            <wp:docPr id="1037" name="shape103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6438900"/>
                    </a:xfrm>
                    <a:prstGeom prst="rect"/>
                  </pic:spPr>
                </pic:pic>
              </a:graphicData>
            </a:graphic>
          </wp:inline>
        </w:drawing>
      </w:r>
      <w:r>
        <w:br w:type="page"/>
      </w:r>
    </w:p>
    <w:p>
      <w:pPr>
        <w:jc w:val="center"/>
      </w:pPr>
      <w:r>
        <w:drawing>
          <wp:inline distT="0" distB="0" distL="0" distR="0">
            <wp:extent cx="4343400" cy="6438900"/>
            <wp:effectExtent l="0" t="0" r="0" b="0"/>
            <wp:docPr id="1038" name="shape103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6438900"/>
                    </a:xfrm>
                    <a:prstGeom prst="rect"/>
                  </pic:spPr>
                </pic:pic>
              </a:graphicData>
            </a:graphic>
          </wp:inline>
        </w:drawing>
      </w:r>
      <w:r>
        <w:br w:type="page"/>
      </w:r>
    </w:p>
    <w:p>
      <w:pPr>
        <w:jc w:val="center"/>
      </w:pPr>
      <w:r>
        <w:drawing>
          <wp:inline distT="0" distB="0" distL="0" distR="0">
            <wp:extent cx="5162550" cy="6438900"/>
            <wp:effectExtent l="0" t="0" r="0" b="0"/>
            <wp:docPr id="1039" name="shape1039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6438900"/>
                    </a:xfrm>
                    <a:prstGeom prst="rect"/>
                  </pic:spPr>
                </pic:pic>
              </a:graphicData>
            </a:graphic>
          </wp:inline>
        </w:drawing>
      </w:r>
      <w:r>
        <w:br w:type="page"/>
      </w:r>
    </w:p>
    <w:p>
      <w:pPr>
        <w:jc w:val="center"/>
      </w:pPr>
      <w:r>
        <w:drawing>
          <wp:inline distT="0" distB="0" distL="0" distR="0">
            <wp:extent cx="4410075" cy="6438900"/>
            <wp:effectExtent l="0" t="0" r="0" b="0"/>
            <wp:docPr id="1040" name="shape1040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6438900"/>
                    </a:xfrm>
                    <a:prstGeom prst="rect"/>
                  </pic:spPr>
                </pic:pic>
              </a:graphicData>
            </a:graphic>
          </wp:inline>
        </w:drawing>
      </w:r>
      <w:r>
        <w:br w:type="page"/>
      </w:r>
    </w:p>
    <w:p>
      <w:pPr>
        <w:jc w:val="center"/>
      </w:pPr>
      <w:r>
        <w:drawing>
          <wp:inline distT="0" distB="0" distL="0" distR="0">
            <wp:extent cx="5038725" cy="6438900"/>
            <wp:effectExtent l="0" t="0" r="0" b="0"/>
            <wp:docPr id="1041" name="shape1041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6438900"/>
                    </a:xfrm>
                    <a:prstGeom prst="rect"/>
                  </pic:spPr>
                </pic:pic>
              </a:graphicData>
            </a:graphic>
          </wp:inline>
        </w:drawing>
      </w:r>
      <w:r>
        <w:br w:type="page"/>
      </w:r>
    </w:p>
    <w:p>
      <w:pPr>
        <w:jc w:val="center"/>
      </w:pPr>
      <w:r>
        <w:drawing>
          <wp:inline distT="0" distB="0" distL="0" distR="0">
            <wp:extent cx="4648200" cy="6438900"/>
            <wp:effectExtent l="0" t="0" r="0" b="0"/>
            <wp:docPr id="1042" name="shape1042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6438900"/>
                    </a:xfrm>
                    <a:prstGeom prst="rect"/>
                  </pic:spPr>
                </pic:pic>
              </a:graphicData>
            </a:graphic>
          </wp:inline>
        </w:drawing>
      </w:r>
      <w:r>
        <w:br w:type="page"/>
      </w:r>
    </w:p>
    <w:p>
      <w:pPr>
        <w:jc w:val="center"/>
      </w:pPr>
      <w:r>
        <w:drawing>
          <wp:inline distT="0" distB="0" distL="0" distR="0">
            <wp:extent cx="4933950" cy="6438900"/>
            <wp:effectExtent l="0" t="0" r="0" b="0"/>
            <wp:docPr id="1043" name="shape1043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6438900"/>
                    </a:xfrm>
                    <a:prstGeom prst="rect"/>
                  </pic:spPr>
                </pic:pic>
              </a:graphicData>
            </a:graphic>
          </wp:inline>
        </w:drawing>
      </w:r>
      <w:r>
        <w:br w:type="page"/>
      </w:r>
    </w:p>
    <w:p>
      <w:pPr>
        <w:jc w:val="center"/>
      </w:pPr>
      <w:r>
        <w:drawing>
          <wp:inline distT="0" distB="0" distL="0" distR="0">
            <wp:extent cx="4438650" cy="6438900"/>
            <wp:effectExtent l="0" t="0" r="0" b="0"/>
            <wp:docPr id="1044" name="shape1044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438900"/>
                    </a:xfrm>
                    <a:prstGeom prst="rect"/>
                  </pic:spPr>
                </pic:pic>
              </a:graphicData>
            </a:graphic>
          </wp:inline>
        </w:drawing>
      </w:r>
      <w:r>
        <w:br w:type="page"/>
      </w:r>
    </w:p>
    <w:p>
      <w:pPr>
        <w:jc w:val="center"/>
      </w:pPr>
      <w:r>
        <w:drawing>
          <wp:inline distT="0" distB="0" distL="0" distR="0">
            <wp:extent cx="5057775" cy="6438900"/>
            <wp:effectExtent l="0" t="0" r="0" b="0"/>
            <wp:docPr id="1045" name="shape104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6438900"/>
                    </a:xfrm>
                    <a:prstGeom prst="rect"/>
                  </pic:spPr>
                </pic:pic>
              </a:graphicData>
            </a:graphic>
          </wp:inline>
        </w:drawing>
      </w:r>
      <w:r>
        <w:br w:type="page"/>
      </w:r>
    </w:p>
    <w:p>
      <w:pPr>
        <w:jc w:val="center"/>
      </w:pPr>
      <w:r>
        <w:drawing>
          <wp:inline distT="0" distB="0" distL="0" distR="0">
            <wp:extent cx="4457700" cy="6438900"/>
            <wp:effectExtent l="0" t="0" r="0" b="0"/>
            <wp:docPr id="1046" name="shape104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6438900"/>
                    </a:xfrm>
                    <a:prstGeom prst="rect"/>
                  </pic:spPr>
                </pic:pic>
              </a:graphicData>
            </a:graphic>
          </wp:inline>
        </w:drawing>
      </w:r>
      <w:r>
        <w:br w:type="page"/>
      </w:r>
    </w:p>
    <w:p>
      <w:pPr>
        <w:jc w:val="center"/>
      </w:pPr>
      <w:r>
        <w:drawing>
          <wp:inline distT="0" distB="0" distL="0" distR="0">
            <wp:extent cx="4829175" cy="6438900"/>
            <wp:effectExtent l="0" t="0" r="0" b="0"/>
            <wp:docPr id="1047" name="shape104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6438900"/>
                    </a:xfrm>
                    <a:prstGeom prst="rect"/>
                  </pic:spPr>
                </pic:pic>
              </a:graphicData>
            </a:graphic>
          </wp:inline>
        </w:drawing>
      </w:r>
      <w:r>
        <w:br w:type="page"/>
      </w:r>
    </w:p>
    <w:p>
      <w:pPr>
        <w:jc w:val="center"/>
      </w:pPr>
      <w:r>
        <w:drawing>
          <wp:inline distT="0" distB="0" distL="0" distR="0">
            <wp:extent cx="4495800" cy="6438900"/>
            <wp:effectExtent l="0" t="0" r="0" b="0"/>
            <wp:docPr id="1048" name="shape104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6438900"/>
                    </a:xfrm>
                    <a:prstGeom prst="rect"/>
                  </pic:spPr>
                </pic:pic>
              </a:graphicData>
            </a:graphic>
          </wp:inline>
        </w:drawing>
      </w:r>
      <w:r>
        <w:br w:type="page"/>
      </w:r>
    </w:p>
    <w:p>
      <w:pPr>
        <w:jc w:val="center"/>
      </w:pPr>
      <w:r>
        <w:drawing>
          <wp:inline distT="0" distB="0" distL="0" distR="0">
            <wp:extent cx="5124450" cy="6438900"/>
            <wp:effectExtent l="0" t="0" r="0" b="0"/>
            <wp:docPr id="1049" name="shape1049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6438900"/>
                    </a:xfrm>
                    <a:prstGeom prst="rect"/>
                  </pic:spPr>
                </pic:pic>
              </a:graphicData>
            </a:graphic>
          </wp:inline>
        </w:drawing>
      </w:r>
      <w:r>
        <w:br w:type="page"/>
      </w:r>
    </w:p>
    <w:p>
      <w:pPr>
        <w:jc w:val="center"/>
      </w:pPr>
      <w:r>
        <w:drawing>
          <wp:inline distT="0" distB="0" distL="0" distR="0">
            <wp:extent cx="4400550" cy="6438900"/>
            <wp:effectExtent l="0" t="0" r="0" b="0"/>
            <wp:docPr id="1050" name="shape1050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6438900"/>
                    </a:xfrm>
                    <a:prstGeom prst="rect"/>
                  </pic:spPr>
                </pic:pic>
              </a:graphicData>
            </a:graphic>
          </wp:inline>
        </w:drawing>
      </w:r>
      <w:r>
        <w:br w:type="page"/>
      </w:r>
    </w:p>
    <w:p>
      <w:pPr>
        <w:jc w:val="center"/>
      </w:pPr>
      <w:r>
        <w:drawing>
          <wp:inline distT="0" distB="0" distL="0" distR="0">
            <wp:extent cx="5019675" cy="6438900"/>
            <wp:effectExtent l="0" t="0" r="0" b="0"/>
            <wp:docPr id="1051" name="shape1051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6438900"/>
                    </a:xfrm>
                    <a:prstGeom prst="rect"/>
                  </pic:spPr>
                </pic:pic>
              </a:graphicData>
            </a:graphic>
          </wp:inline>
        </w:drawing>
      </w:r>
      <w:r>
        <w:br w:type="page"/>
      </w:r>
    </w:p>
    <w:p>
      <w:pPr>
        <w:jc w:val="center"/>
      </w:pPr>
      <w:r>
        <w:drawing>
          <wp:inline distT="0" distB="0" distL="0" distR="0">
            <wp:extent cx="4505325" cy="6438900"/>
            <wp:effectExtent l="0" t="0" r="0" b="0"/>
            <wp:docPr id="1052" name="shape1052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6438900"/>
                    </a:xfrm>
                    <a:prstGeom prst="rect"/>
                  </pic:spPr>
                </pic:pic>
              </a:graphicData>
            </a:graphic>
          </wp:inline>
        </w:drawing>
      </w:r>
      <w:r>
        <w:br w:type="page"/>
      </w:r>
    </w:p>
    <w:p>
      <w:pPr>
        <w:jc w:val="center"/>
      </w:pPr>
      <w:r>
        <w:drawing>
          <wp:inline distT="0" distB="0" distL="0" distR="0">
            <wp:extent cx="5229225" cy="6438900"/>
            <wp:effectExtent l="0" t="0" r="0" b="0"/>
            <wp:docPr id="1053" name="shape1053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6438900"/>
                    </a:xfrm>
                    <a:prstGeom prst="rect"/>
                  </pic:spPr>
                </pic:pic>
              </a:graphicData>
            </a:graphic>
          </wp:inline>
        </w:drawing>
      </w:r>
      <w:r>
        <w:br w:type="page"/>
      </w:r>
    </w:p>
    <w:p>
      <w:pPr>
        <w:jc w:val="center"/>
      </w:pPr>
      <w:r>
        <w:drawing>
          <wp:inline distT="0" distB="0" distL="0" distR="0">
            <wp:extent cx="4410075" cy="6438900"/>
            <wp:effectExtent l="0" t="0" r="0" b="0"/>
            <wp:docPr id="1054" name="shape1054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6438900"/>
                    </a:xfrm>
                    <a:prstGeom prst="rect"/>
                  </pic:spPr>
                </pic:pic>
              </a:graphicData>
            </a:graphic>
          </wp:inline>
        </w:drawing>
      </w:r>
      <w:r>
        <w:br w:type="page"/>
      </w:r>
    </w:p>
    <w:p>
      <w:pPr>
        <w:jc w:val="center"/>
      </w:pPr>
      <w:r>
        <w:drawing>
          <wp:inline distT="0" distB="0" distL="0" distR="0">
            <wp:extent cx="5943600" cy="6438900"/>
            <wp:effectExtent l="0" t="0" r="0" b="0"/>
            <wp:docPr id="1055" name="shape105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38900"/>
                    </a:xfrm>
                    <a:prstGeom prst="rect"/>
                  </pic:spPr>
                </pic:pic>
              </a:graphicData>
            </a:graphic>
          </wp:inline>
        </w:drawing>
      </w:r>
      <w:r>
        <w:br w:type="page"/>
      </w:r>
    </w:p>
    <w:p>
      <w:pPr>
        <w:jc w:val="center"/>
      </w:pPr>
      <w:r>
        <w:drawing>
          <wp:inline distT="0" distB="0" distL="0" distR="0">
            <wp:extent cx="4724400" cy="6438900"/>
            <wp:effectExtent l="0" t="0" r="0" b="0"/>
            <wp:docPr id="1056" name="shape105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6438900"/>
                    </a:xfrm>
                    <a:prstGeom prst="rect"/>
                  </pic:spPr>
                </pic:pic>
              </a:graphicData>
            </a:graphic>
          </wp:inline>
        </w:drawing>
      </w:r>
      <w:r>
        <w:br w:type="page"/>
      </w:r>
    </w:p>
    <w:p>
      <w:pPr>
        <w:jc w:val="center"/>
      </w:pPr>
      <w:r>
        <w:drawing>
          <wp:inline distT="0" distB="0" distL="0" distR="0">
            <wp:extent cx="5953125" cy="6438900"/>
            <wp:effectExtent l="0" t="0" r="0" b="0"/>
            <wp:docPr id="1057" name="shape105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6438900"/>
                    </a:xfrm>
                    <a:prstGeom prst="rect"/>
                  </pic:spPr>
                </pic:pic>
              </a:graphicData>
            </a:graphic>
          </wp:inline>
        </w:drawing>
      </w:r>
      <w:r>
        <w:br w:type="page"/>
      </w:r>
    </w:p>
    <w:p>
      <w:pPr>
        <w:jc w:val="center"/>
      </w:pPr>
      <w:r>
        <w:drawing>
          <wp:inline distT="0" distB="0" distL="0" distR="0">
            <wp:extent cx="4486275" cy="6438900"/>
            <wp:effectExtent l="0" t="0" r="0" b="0"/>
            <wp:docPr id="1058" name="shape105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6438900"/>
                    </a:xfrm>
                    <a:prstGeom prst="rect"/>
                  </pic:spPr>
                </pic:pic>
              </a:graphicData>
            </a:graphic>
          </wp:inline>
        </w:drawing>
      </w:r>
      <w:r>
        <w:br w:type="page"/>
      </w:r>
    </w:p>
    <w:p>
      <w:pPr>
        <w:jc w:val="center"/>
        <w:rPr>
          <w:rtl w:val="off"/>
        </w:rPr>
      </w:pPr>
      <w:r>
        <w:drawing>
          <wp:inline distT="0" distB="0" distL="0" distR="0">
            <wp:extent cx="4829175" cy="6438900"/>
            <wp:effectExtent l="0" t="0" r="0" b="0"/>
            <wp:docPr id="1059" name="shape1059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64389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  <w:rPr>
          <w:rtl w:val="off"/>
        </w:rPr>
      </w:pPr>
    </w:p>
    <w:p>
      <w:pPr>
        <w:jc w:val="center"/>
        <w:rPr>
          <w:rtl w:val="off"/>
        </w:rPr>
      </w:pPr>
    </w:p>
    <w:p>
      <w:pPr>
        <w:rPr>
          <w:b/>
          <w:rtl w:val="off"/>
        </w:rPr>
      </w:pPr>
    </w:p>
    <w:p>
      <w:pPr>
        <w:rPr>
          <w:b/>
          <w:rtl w:val="off"/>
        </w:rPr>
      </w:pPr>
    </w:p>
    <w:p>
      <w:pPr>
        <w:rPr>
          <w:b/>
          <w:rtl w:val="off"/>
        </w:rPr>
      </w:pPr>
    </w:p>
    <w:p>
      <w:pPr>
        <w:rPr>
          <w:b/>
          <w:rtl w:val="off"/>
        </w:rPr>
      </w:pPr>
    </w:p>
    <w:p>
      <w:pPr>
        <w:rPr>
          <w:b/>
          <w:rtl w:val="off"/>
        </w:rPr>
      </w:pPr>
    </w:p>
    <w:p>
      <w:pPr>
        <w:rPr>
          <w:b/>
          <w:rtl w:val="off"/>
        </w:rPr>
      </w:pPr>
    </w:p>
    <w:p>
      <w:pPr>
        <w:rPr>
          <w:b/>
          <w:rtl w:val="off"/>
        </w:rPr>
      </w:pPr>
    </w:p>
    <w:p>
      <w:pPr>
        <w:rPr>
          <w:b/>
          <w:rtl w:val="off"/>
        </w:rPr>
      </w:pPr>
    </w:p>
    <w:p>
      <w:pPr>
        <w:rPr>
          <w:b/>
        </w:rPr>
      </w:pPr>
      <w:r>
        <w:rPr>
          <w:b/>
        </w:rPr>
        <w:t>ОТЧЕТ  ПО ПРЕДДИПЛОМНОЙ  ПРАКТИКЕ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 xml:space="preserve">Ф.И.О. обучающегося </w:t>
      </w:r>
      <w:r>
        <w:rPr>
          <w:sz w:val="28"/>
          <w:szCs w:val="28"/>
          <w:u w:val="single" w:color="auto"/>
          <w:rtl w:val="off"/>
        </w:rPr>
        <w:t>Ахматкуловой Дили Артыкбаевны</w:t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sz w:val="28"/>
          <w:szCs w:val="28"/>
        </w:rPr>
        <w:t xml:space="preserve">Группа   </w:t>
      </w:r>
      <w:r>
        <w:rPr>
          <w:sz w:val="28"/>
          <w:szCs w:val="28"/>
          <w:u w:val="single" w:color="auto"/>
        </w:rPr>
        <w:t>3</w:t>
      </w:r>
      <w:r>
        <w:rPr>
          <w:sz w:val="28"/>
          <w:szCs w:val="28"/>
          <w:u w:val="single" w:color="auto"/>
          <w:rtl w:val="off"/>
        </w:rPr>
        <w:t>04</w:t>
      </w:r>
      <w:r>
        <w:rPr>
          <w:sz w:val="28"/>
          <w:szCs w:val="28"/>
          <w:u w:val="single" w:color="auto"/>
        </w:rPr>
        <w:t xml:space="preserve"> </w:t>
      </w:r>
      <w:r>
        <w:rPr>
          <w:sz w:val="28"/>
          <w:szCs w:val="28"/>
        </w:rPr>
        <w:t xml:space="preserve"> Специальность__</w:t>
      </w:r>
      <w:r>
        <w:rPr>
          <w:sz w:val="28"/>
          <w:szCs w:val="28"/>
          <w:u w:val="single" w:color="auto"/>
        </w:rPr>
        <w:t>Фармация</w:t>
      </w:r>
      <w:r>
        <w:rPr>
          <w:sz w:val="28"/>
          <w:szCs w:val="28"/>
        </w:rPr>
        <w:t>__________</w:t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sz w:val="28"/>
          <w:szCs w:val="28"/>
        </w:rPr>
        <w:t xml:space="preserve">Проходившего преддипломную  практику с </w:t>
      </w:r>
      <w:r>
        <w:rPr>
          <w:sz w:val="28"/>
          <w:szCs w:val="28"/>
          <w:rtl w:val="off"/>
        </w:rPr>
        <w:t>11</w:t>
      </w:r>
      <w:r>
        <w:rPr>
          <w:sz w:val="28"/>
          <w:szCs w:val="28"/>
          <w:u w:val="single" w:color="auto"/>
        </w:rPr>
        <w:t>.0</w:t>
      </w:r>
      <w:r>
        <w:rPr>
          <w:sz w:val="28"/>
          <w:szCs w:val="28"/>
          <w:u w:val="single" w:color="auto"/>
          <w:rtl w:val="off"/>
        </w:rPr>
        <w:t>5</w:t>
      </w:r>
      <w:r>
        <w:rPr>
          <w:sz w:val="28"/>
          <w:szCs w:val="28"/>
        </w:rPr>
        <w:t xml:space="preserve"> по </w:t>
      </w:r>
      <w:r>
        <w:rPr>
          <w:sz w:val="28"/>
          <w:szCs w:val="28"/>
          <w:rtl w:val="off"/>
        </w:rPr>
        <w:t>2</w:t>
      </w:r>
      <w:r>
        <w:rPr>
          <w:sz w:val="28"/>
          <w:szCs w:val="28"/>
          <w:u w:val="single" w:color="auto"/>
        </w:rPr>
        <w:t>3.05</w:t>
      </w:r>
      <w:r>
        <w:rPr>
          <w:sz w:val="28"/>
          <w:szCs w:val="28"/>
          <w:u w:val="single" w:color="auto"/>
          <w:rtl w:val="off"/>
        </w:rPr>
        <w:t>.</w:t>
      </w:r>
      <w:r>
        <w:rPr>
          <w:sz w:val="28"/>
          <w:szCs w:val="28"/>
        </w:rPr>
        <w:t>20</w:t>
      </w:r>
      <w:r>
        <w:rPr>
          <w:sz w:val="28"/>
          <w:szCs w:val="28"/>
          <w:rtl w:val="off"/>
        </w:rPr>
        <w:t>20</w:t>
      </w:r>
      <w:r>
        <w:rPr>
          <w:sz w:val="28"/>
          <w:szCs w:val="28"/>
        </w:rPr>
        <w:t>г.</w:t>
      </w:r>
    </w:p>
    <w:p>
      <w:pPr>
        <w:rPr>
          <w:sz w:val="28"/>
          <w:szCs w:val="28"/>
        </w:rPr>
      </w:pPr>
    </w:p>
    <w:p>
      <w:pPr>
        <w:pStyle w:val="af3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На базе</w:t>
      </w:r>
      <w:r>
        <w:rPr>
          <w:sz w:val="28"/>
          <w:szCs w:val="28"/>
          <w:rtl w:val="off"/>
        </w:rPr>
        <w:t xml:space="preserve"> </w:t>
      </w:r>
      <w:r>
        <w:rPr>
          <w:sz w:val="28"/>
          <w:szCs w:val="28"/>
          <w:u w:val="single" w:color="auto"/>
          <w:rtl w:val="off"/>
        </w:rPr>
        <w:t>ООО “Витамед”ул.Мичурина 23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 xml:space="preserve">Города/района     </w:t>
      </w:r>
      <w:r>
        <w:rPr>
          <w:sz w:val="28"/>
          <w:szCs w:val="28"/>
          <w:u w:val="single" w:color="auto"/>
        </w:rPr>
        <w:t>Г. Красноярска</w:t>
      </w:r>
      <w:r>
        <w:rPr>
          <w:sz w:val="28"/>
          <w:szCs w:val="28"/>
        </w:rPr>
        <w:t xml:space="preserve">   </w:t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sz w:val="28"/>
          <w:szCs w:val="28"/>
        </w:rPr>
        <w:t>За время прохождения мною выполнены следующие объемы работ:</w:t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sz w:val="28"/>
          <w:szCs w:val="28"/>
        </w:rPr>
        <w:t>А.  Цифровой отчет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6095"/>
        <w:gridCol w:w="2657"/>
      </w:tblGrid>
      <w:tr>
        <w:trPr>
          <w:trHeight w:val="356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>
            <w:pPr>
              <w:tabs>
                <w:tab w:val="left" w:pos="708"/>
              </w:tabs>
              <w:rPr>
                <w:lang w:eastAsia="ru-RU"/>
                <w:rFonts w:eastAsia="Times New Roman"/>
                <w:b/>
                <w:sz w:val="28"/>
                <w:szCs w:val="28"/>
              </w:rPr>
            </w:pPr>
            <w:r>
              <w:rPr>
                <w:lang w:eastAsia="ru-RU"/>
                <w:b/>
                <w:sz w:val="28"/>
                <w:szCs w:val="28"/>
              </w:rPr>
              <w:t>№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>
            <w:pPr>
              <w:jc w:val="center"/>
              <w:tabs>
                <w:tab w:val="left" w:pos="708"/>
              </w:tabs>
              <w:rPr>
                <w:lang w:eastAsia="ru-RU"/>
                <w:rFonts w:eastAsia="Times New Roman"/>
                <w:b/>
                <w:sz w:val="28"/>
                <w:szCs w:val="28"/>
              </w:rPr>
            </w:pPr>
            <w:r>
              <w:rPr>
                <w:lang w:eastAsia="ru-RU"/>
                <w:b/>
                <w:sz w:val="28"/>
                <w:szCs w:val="28"/>
              </w:rPr>
              <w:t>Виды работ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>
            <w:pPr>
              <w:jc w:val="center"/>
              <w:tabs>
                <w:tab w:val="left" w:pos="708"/>
              </w:tabs>
              <w:rPr>
                <w:lang w:eastAsia="ru-RU"/>
                <w:rFonts w:eastAsia="Times New Roman"/>
                <w:b/>
                <w:sz w:val="28"/>
                <w:szCs w:val="28"/>
              </w:rPr>
            </w:pPr>
            <w:r>
              <w:rPr>
                <w:lang w:eastAsia="ru-RU"/>
                <w:b/>
                <w:sz w:val="28"/>
                <w:szCs w:val="28"/>
              </w:rPr>
              <w:t>Количество</w:t>
            </w:r>
          </w:p>
        </w:tc>
      </w:tr>
      <w:tr>
        <w:trPr>
          <w:trHeight w:val="466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>
            <w:pPr>
              <w:rPr>
                <w:lang w:eastAsia="ru-RU"/>
                <w:rFonts w:eastAsia="Calibri"/>
                <w:sz w:val="20"/>
                <w:szCs w:val="20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>
            <w:pPr>
              <w:tabs>
                <w:tab w:val="left" w:pos="708"/>
              </w:tabs>
              <w:rPr>
                <w:lang w:eastAsia="ru-RU"/>
                <w:rFonts w:eastAsia="Times New Roman"/>
                <w:sz w:val="28"/>
                <w:szCs w:val="28"/>
              </w:rPr>
            </w:pPr>
            <w:r>
              <w:rPr>
                <w:lang w:eastAsia="ru-RU"/>
                <w:sz w:val="28"/>
                <w:szCs w:val="28"/>
              </w:rPr>
              <w:t>Проанализирован ассортимент препаратов фармакологических групп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jc w:val="center"/>
              <w:tabs>
                <w:tab w:val="left" w:pos="708"/>
              </w:tabs>
              <w:rPr>
                <w:lang w:eastAsia="ru-RU"/>
                <w:rFonts w:eastAsia="Times New Roman"/>
                <w:sz w:val="28"/>
                <w:szCs w:val="28"/>
              </w:rPr>
            </w:pPr>
            <w:r>
              <w:rPr>
                <w:lang w:eastAsia="ru-RU"/>
                <w:rFonts w:eastAsia="Times New Roman"/>
                <w:sz w:val="28"/>
                <w:szCs w:val="28"/>
              </w:rPr>
              <w:t>10</w:t>
            </w:r>
          </w:p>
        </w:tc>
      </w:tr>
      <w:tr>
        <w:trPr>
          <w:trHeight w:val="488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>
            <w:pPr>
              <w:rPr>
                <w:lang w:eastAsia="ru-RU"/>
                <w:rFonts w:eastAsia="Calibri"/>
                <w:sz w:val="20"/>
                <w:szCs w:val="20"/>
              </w:rPr>
            </w:pPr>
            <w:r>
              <w:rPr>
                <w:lang w:eastAsia="ru-RU"/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>
            <w:pPr>
              <w:shd w:val="clear" w:color="auto" w:fill="FFFFFF"/>
              <w:spacing w:line="100" w:lineRule="atLeast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 xml:space="preserve">Лекарственные средства, влияющие на исполнительные органы. </w:t>
            </w:r>
          </w:p>
          <w:p>
            <w:pPr>
              <w:shd w:val="clear" w:color="auto" w:fill="FFFFFF"/>
              <w:spacing w:line="100" w:lineRule="atLeast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 xml:space="preserve">Лекарственные средства,  влияющие на функции сердечно-сосудистой  системы. </w:t>
            </w:r>
          </w:p>
          <w:p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Ингибиторы АПФ</w:t>
            </w:r>
          </w:p>
          <w:p>
            <w:pPr>
              <w:rPr>
                <w:lang w:eastAsia="ru-RU"/>
                <w:rFonts w:eastAsia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Блокаторы  ангиотензиновых рецепторов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jc w:val="center"/>
              <w:tabs>
                <w:tab w:val="left" w:pos="708"/>
              </w:tabs>
              <w:rPr>
                <w:lang w:eastAsia="ru-RU"/>
                <w:rFonts w:eastAsia="Times New Roman"/>
                <w:sz w:val="28"/>
                <w:szCs w:val="28"/>
              </w:rPr>
            </w:pPr>
            <w:r>
              <w:rPr>
                <w:lang w:eastAsia="ru-RU"/>
                <w:rFonts w:eastAsia="Times New Roman"/>
                <w:sz w:val="28"/>
                <w:szCs w:val="28"/>
              </w:rPr>
              <w:t>3</w:t>
            </w:r>
          </w:p>
        </w:tc>
      </w:tr>
      <w:tr>
        <w:trPr>
          <w:trHeight w:val="466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>
            <w:pPr>
              <w:rPr>
                <w:lang w:eastAsia="ru-RU"/>
                <w:rFonts w:eastAsia="Calibri"/>
                <w:sz w:val="20"/>
                <w:szCs w:val="20"/>
              </w:rPr>
            </w:pPr>
            <w:r>
              <w:rPr>
                <w:lang w:eastAsia="ru-RU"/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>
            <w:pPr>
              <w:shd w:val="clear" w:color="auto" w:fill="FFFFFF"/>
              <w:spacing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Нитраты. </w:t>
            </w:r>
          </w:p>
          <w:p>
            <w:pPr>
              <w:rPr>
                <w:lang w:eastAsia="ru-RU"/>
                <w:rFonts w:eastAsia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Блокаторы кальциевых каналов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jc w:val="center"/>
              <w:tabs>
                <w:tab w:val="left" w:pos="708"/>
              </w:tabs>
              <w:rPr>
                <w:lang w:eastAsia="ru-RU"/>
                <w:rFonts w:eastAsia="Times New Roman"/>
                <w:color w:val="FF0000"/>
                <w:sz w:val="28"/>
                <w:szCs w:val="28"/>
              </w:rPr>
            </w:pPr>
            <w:r>
              <w:rPr>
                <w:lang w:eastAsia="ru-RU"/>
                <w:rFonts w:eastAsia="Times New Roman"/>
                <w:sz w:val="28"/>
                <w:szCs w:val="28"/>
              </w:rPr>
              <w:t>2</w:t>
            </w:r>
          </w:p>
        </w:tc>
      </w:tr>
      <w:tr>
        <w:trPr>
          <w:trHeight w:val="466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>
            <w:pPr>
              <w:rPr>
                <w:lang w:eastAsia="ru-RU"/>
                <w:rFonts w:eastAsia="Calibri"/>
                <w:sz w:val="20"/>
                <w:szCs w:val="20"/>
              </w:rPr>
            </w:pPr>
            <w:r>
              <w:rPr>
                <w:lang w:eastAsia="ru-RU"/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>
            <w:pPr>
              <w:shd w:val="clear" w:color="auto" w:fill="FFFFFF"/>
              <w:spacing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Бета-адреноблокаторы.</w:t>
            </w:r>
          </w:p>
          <w:p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Неселективные бета1,2-адреноблокаторы Кардиоселективные бета1-адреноблокаторы</w:t>
            </w:r>
          </w:p>
          <w:p>
            <w:pPr>
              <w:rPr>
                <w:lang w:eastAsia="ru-RU"/>
                <w:rFonts w:eastAsia="Times New Roman"/>
                <w:b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Альфа, бета-адреноблокаторы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jc w:val="center"/>
              <w:tabs>
                <w:tab w:val="left" w:pos="708"/>
              </w:tabs>
              <w:rPr>
                <w:lang w:eastAsia="ru-RU"/>
                <w:rFonts w:eastAsia="Times New Roman"/>
                <w:sz w:val="28"/>
                <w:szCs w:val="28"/>
              </w:rPr>
            </w:pPr>
            <w:r>
              <w:rPr>
                <w:lang w:eastAsia="ru-RU"/>
                <w:rFonts w:eastAsia="Times New Roman"/>
                <w:sz w:val="28"/>
                <w:szCs w:val="28"/>
              </w:rPr>
              <w:t>4</w:t>
            </w:r>
          </w:p>
        </w:tc>
      </w:tr>
      <w:tr>
        <w:trPr>
          <w:trHeight w:val="488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>
            <w:pPr>
              <w:rPr>
                <w:lang w:eastAsia="ru-RU"/>
                <w:rFonts w:eastAsia="Calibri"/>
                <w:sz w:val="20"/>
                <w:szCs w:val="20"/>
              </w:rPr>
            </w:pPr>
            <w:r>
              <w:rPr>
                <w:lang w:eastAsia="ru-RU"/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>
            <w:pPr>
              <w:shd w:val="clear" w:color="auto" w:fill="FFFFFF"/>
              <w:spacing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Гиполипидемические средства</w:t>
            </w:r>
          </w:p>
          <w:p>
            <w:pPr>
              <w:shd w:val="clear" w:color="auto" w:fill="FFFFFF"/>
              <w:spacing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Статины</w:t>
            </w:r>
          </w:p>
          <w:p>
            <w:pPr>
              <w:rPr>
                <w:lang w:eastAsia="ru-RU"/>
                <w:rFonts w:eastAsia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ПНЖК (полиненасыщенные жирные кислоты)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jc w:val="center"/>
              <w:tabs>
                <w:tab w:val="left" w:pos="708"/>
              </w:tabs>
              <w:rPr>
                <w:lang w:eastAsia="ru-RU"/>
                <w:rFonts w:eastAsia="Times New Roman"/>
                <w:sz w:val="28"/>
                <w:szCs w:val="28"/>
              </w:rPr>
            </w:pPr>
            <w:r>
              <w:rPr>
                <w:lang w:eastAsia="ru-RU"/>
                <w:rFonts w:eastAsia="Times New Roman"/>
                <w:sz w:val="28"/>
                <w:szCs w:val="28"/>
              </w:rPr>
              <w:t>2</w:t>
            </w:r>
          </w:p>
        </w:tc>
      </w:tr>
      <w:tr>
        <w:trPr>
          <w:trHeight w:val="466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>
            <w:pPr>
              <w:rPr>
                <w:lang w:eastAsia="ru-RU"/>
                <w:rFonts w:eastAsia="Calibri"/>
                <w:sz w:val="20"/>
                <w:szCs w:val="20"/>
              </w:rPr>
            </w:pPr>
            <w:r>
              <w:rPr>
                <w:lang w:eastAsia="ru-RU"/>
                <w:rFonts w:eastAsia="Calibri"/>
                <w:sz w:val="20"/>
                <w:szCs w:val="20"/>
              </w:rPr>
              <w:t>5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>
            <w:pPr>
              <w:shd w:val="clear" w:color="auto" w:fill="FFFFFF"/>
              <w:spacing w:line="100" w:lineRule="atLeast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 xml:space="preserve">Биогенные стимуляторы,  антиоксиданты, улучшающие метаболические процессы при различных сердечно-сосудистых заболеваниях.                     </w:t>
            </w:r>
          </w:p>
          <w:p>
            <w:pPr>
              <w:shd w:val="clear" w:color="auto" w:fill="FFFFFF"/>
              <w:spacing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Мельдоний «Милдронат», «Кардионат»</w:t>
            </w:r>
          </w:p>
          <w:p>
            <w:pPr>
              <w:shd w:val="clear" w:color="auto" w:fill="FFFFFF"/>
              <w:spacing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Триметазидин  «Предуктал» «Предуктал МВ»</w:t>
            </w:r>
          </w:p>
          <w:p>
            <w:pPr>
              <w:shd w:val="clear" w:color="auto" w:fill="FFFFFF"/>
              <w:spacing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Элькарнитин «Элькар»</w:t>
            </w:r>
          </w:p>
          <w:p>
            <w:pPr>
              <w:shd w:val="clear" w:color="auto" w:fill="FFFFFF"/>
              <w:spacing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Этилметилгидроксипиридина сукцинат «Мексиприм», «Мексидол»</w:t>
            </w:r>
          </w:p>
          <w:p>
            <w:pPr>
              <w:rPr>
                <w:lang w:eastAsia="ru-RU"/>
                <w:rFonts w:eastAsia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Рибоксин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jc w:val="center"/>
              <w:tabs>
                <w:tab w:val="left" w:pos="708"/>
              </w:tabs>
              <w:rPr>
                <w:lang w:eastAsia="ru-RU"/>
                <w:rFonts w:eastAsia="Times New Roman"/>
                <w:sz w:val="28"/>
                <w:szCs w:val="28"/>
              </w:rPr>
            </w:pPr>
            <w:r>
              <w:rPr>
                <w:lang w:eastAsia="ru-RU"/>
                <w:rFonts w:eastAsia="Times New Roman"/>
                <w:sz w:val="28"/>
                <w:szCs w:val="28"/>
              </w:rPr>
              <w:t>5</w:t>
            </w:r>
          </w:p>
        </w:tc>
      </w:tr>
      <w:tr>
        <w:trPr>
          <w:trHeight w:val="466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>
            <w:pPr>
              <w:rPr>
                <w:lang w:eastAsia="ru-RU"/>
                <w:rFonts w:eastAsia="Calibri"/>
                <w:sz w:val="20"/>
                <w:szCs w:val="20"/>
              </w:rPr>
            </w:pPr>
            <w:r>
              <w:rPr>
                <w:lang w:eastAsia="ru-RU"/>
                <w:rFonts w:eastAsia="Calibri"/>
                <w:sz w:val="20"/>
                <w:szCs w:val="20"/>
              </w:rPr>
              <w:t>6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>
            <w:pPr>
              <w:shd w:val="clear" w:color="auto" w:fill="FFFFFF"/>
              <w:spacing w:line="100" w:lineRule="atLeast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Диуретики в терапии сердечно-сосудистых заболеваний.</w:t>
            </w:r>
          </w:p>
          <w:p>
            <w:pPr>
              <w:spacing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Петлевые (сильные) диуретики</w:t>
            </w:r>
          </w:p>
          <w:p>
            <w:pPr>
              <w:spacing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Тиазидные, тиазидоподобные  диуретики </w:t>
            </w:r>
          </w:p>
          <w:p>
            <w:pPr>
              <w:rPr>
                <w:lang w:eastAsia="ru-RU"/>
                <w:rFonts w:eastAsia="Times New Roman"/>
                <w:b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Калийсберегающие диуретики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jc w:val="center"/>
              <w:tabs>
                <w:tab w:val="left" w:pos="708"/>
              </w:tabs>
              <w:rPr>
                <w:lang w:eastAsia="ru-RU"/>
                <w:rFonts w:eastAsia="Times New Roman"/>
                <w:sz w:val="28"/>
                <w:szCs w:val="28"/>
              </w:rPr>
            </w:pPr>
            <w:r>
              <w:rPr>
                <w:lang w:eastAsia="ru-RU"/>
                <w:rFonts w:eastAsia="Times New Roman"/>
                <w:sz w:val="28"/>
                <w:szCs w:val="28"/>
              </w:rPr>
              <w:t>3</w:t>
            </w:r>
          </w:p>
        </w:tc>
      </w:tr>
    </w:tbl>
    <w:p>
      <w:pPr>
        <w:rPr>
          <w:lang w:eastAsia="en-US"/>
          <w:rFonts w:eastAsia="Times New Roman"/>
          <w:sz w:val="28"/>
          <w:szCs w:val="28"/>
        </w:rPr>
      </w:pPr>
      <w:r>
        <w:rPr>
          <w:sz w:val="28"/>
          <w:szCs w:val="28"/>
        </w:rPr>
        <w:t>Б. Текстовой отчет</w:t>
      </w:r>
    </w:p>
    <w:p>
      <w:pPr>
        <w:jc w:val="both"/>
        <w:rPr>
          <w:i/>
          <w:sz w:val="28"/>
        </w:rPr>
      </w:pPr>
      <w:r>
        <w:rPr>
          <w:i/>
          <w:sz w:val="28"/>
        </w:rPr>
        <w:t>Отразить:</w:t>
      </w:r>
    </w:p>
    <w:p>
      <w:pPr>
        <w:rPr>
          <w:sz w:val="28"/>
        </w:rPr>
      </w:pPr>
      <w:r>
        <w:rPr>
          <w:sz w:val="28"/>
        </w:rPr>
        <w:t>- закреплены знания: изучение методов управления и основные методы мотивации персонала, закреплены и углублены теоретические знания по группам лекарственных средств;</w:t>
      </w:r>
    </w:p>
    <w:p>
      <w:pPr>
        <w:rPr>
          <w:sz w:val="28"/>
        </w:rPr>
      </w:pPr>
      <w:r>
        <w:rPr>
          <w:sz w:val="28"/>
        </w:rPr>
        <w:t>- отработаны  практические умения: организовывать хранение лекарственных средств, их учет, прием лекарственных  средств и товара аптечного ассортимента. Организовывать работу по соблюдению санитарного режима, охране труда, технике безопасности;</w:t>
      </w:r>
    </w:p>
    <w:p>
      <w:pPr>
        <w:rPr>
          <w:sz w:val="28"/>
        </w:rPr>
      </w:pPr>
      <w:r>
        <w:rPr>
          <w:sz w:val="28"/>
        </w:rPr>
        <w:t>- выполнена самостоятельная работа: организация хранения товаров аптечного ассортимента, анализ лекарственных  средств.</w:t>
      </w:r>
    </w:p>
    <w:p>
      <w:pPr>
        <w:rPr>
          <w:sz w:val="28"/>
        </w:rPr>
      </w:pPr>
      <w:r>
        <w:rPr>
          <w:sz w:val="28"/>
        </w:rPr>
        <w:t>За время прохождения практики моя работа состояла в приемочном контроле ЛС, размещению их по местам хранения и отпуск медицинских изделий и медицинской техники, а в этом мне помогали сотрудники аптека.</w:t>
      </w:r>
    </w:p>
    <w:p>
      <w:pPr>
        <w:jc w:val="both"/>
        <w:rPr>
          <w:i/>
        </w:rPr>
      </w:pPr>
    </w:p>
    <w:p>
      <w:pPr>
        <w:pStyle w:val="a5"/>
        <w:ind w:left="431" w:hanging="431"/>
        <w:numPr>
          <w:ilvl w:val="0"/>
          <w:numId w:val="3"/>
        </w:numPr>
        <w:spacing w:after="0" w:line="240" w:lineRule="auto"/>
      </w:pPr>
      <w:r>
        <w:rPr>
          <w:rFonts w:ascii="Times New Roman" w:hAnsi="Times New Roman"/>
          <w:color w:val="000000"/>
          <w:sz w:val="24"/>
          <w:szCs w:val="24"/>
        </w:rPr>
        <w:t xml:space="preserve">Студент ___________        </w:t>
      </w:r>
      <w:r>
        <w:rPr>
          <w:rFonts w:ascii="Times New Roman" w:hAnsi="Times New Roman"/>
          <w:color w:val="000000"/>
          <w:sz w:val="24"/>
          <w:szCs w:val="24"/>
          <w:u w:val="single" w:color="auto"/>
          <w:rtl w:val="off"/>
        </w:rPr>
        <w:t>Ахматкулова  Д.А</w:t>
      </w:r>
    </w:p>
    <w:p>
      <w:pPr>
        <w:pStyle w:val="a5"/>
        <w:ind w:left="431" w:hanging="431"/>
        <w:numPr>
          <w:ilvl w:val="0"/>
          <w:numId w:val="3"/>
        </w:numPr>
        <w:spacing w:after="0" w:line="240" w:lineRule="auto"/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  (подпись)               (ФИО)</w:t>
      </w:r>
    </w:p>
    <w:p>
      <w:pPr>
        <w:pStyle w:val="a5"/>
        <w:ind w:left="431" w:hanging="431"/>
        <w:numPr>
          <w:ilvl w:val="0"/>
          <w:numId w:val="3"/>
        </w:numPr>
        <w:spacing w:after="0" w:line="240" w:lineRule="auto"/>
      </w:pPr>
    </w:p>
    <w:p>
      <w:pPr>
        <w:pStyle w:val="a5"/>
        <w:ind w:left="431" w:hanging="431"/>
        <w:numPr>
          <w:ilvl w:val="0"/>
          <w:numId w:val="3"/>
        </w:numPr>
        <w:spacing w:after="0" w:line="240" w:lineRule="auto"/>
      </w:pPr>
      <w:r>
        <w:rPr>
          <w:rFonts w:ascii="Times New Roman" w:hAnsi="Times New Roman"/>
          <w:color w:val="000000"/>
          <w:sz w:val="24"/>
          <w:szCs w:val="24"/>
        </w:rPr>
        <w:t>Общий/непосредственный руководитель практики ___________        _______________</w:t>
      </w:r>
    </w:p>
    <w:p>
      <w:pPr>
        <w:pStyle w:val="a5"/>
        <w:ind w:left="431" w:hanging="431"/>
        <w:jc w:val="center"/>
        <w:numPr>
          <w:ilvl w:val="0"/>
          <w:numId w:val="3"/>
        </w:numPr>
        <w:spacing w:after="0" w:line="240" w:lineRule="auto"/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(подпись)               (ФИО)</w:t>
      </w:r>
    </w:p>
    <w:p>
      <w:pPr>
        <w:pStyle w:val="a6"/>
        <w:numPr>
          <w:ilvl w:val="0"/>
          <w:numId w:val="3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«____» _______________ 20</w:t>
      </w:r>
      <w:r>
        <w:rPr>
          <w:rFonts w:ascii="Times New Roman" w:hAnsi="Times New Roman"/>
          <w:color w:val="000000"/>
          <w:sz w:val="24"/>
          <w:szCs w:val="24"/>
          <w:rtl w:val="off"/>
        </w:rPr>
        <w:t>20</w:t>
      </w:r>
      <w:r>
        <w:rPr>
          <w:rFonts w:ascii="Times New Roman" w:hAnsi="Times New Roman"/>
          <w:color w:val="000000"/>
          <w:sz w:val="24"/>
          <w:szCs w:val="24"/>
        </w:rPr>
        <w:t xml:space="preserve"> г.м.п.</w:t>
      </w:r>
    </w:p>
    <w:p>
      <w:pPr>
        <w:pStyle w:val="aff4"/>
      </w:pPr>
    </w:p>
    <w:p>
      <w:pPr>
        <w:jc w:val="both"/>
        <w:rPr>
          <w:i/>
        </w:rPr>
      </w:pPr>
    </w:p>
    <w:p>
      <w:pPr>
        <w:rPr>
          <w:szCs w:val="28"/>
        </w:rPr>
      </w:pPr>
    </w:p>
    <w:p>
      <w:pPr>
        <w:widowControl/>
        <w:suppressAutoHyphens w:val="off"/>
        <w:suppressAutoHyphens w:val="off"/>
        <w:spacing w:after="200" w:line="276" w:lineRule="auto"/>
      </w:pPr>
      <w:r>
        <w:br w:type="page"/>
      </w:r>
    </w:p>
    <w:p>
      <w:pPr>
        <w:jc w:val="center"/>
        <w:rPr>
          <w:rtl w:val="off"/>
        </w:rPr>
      </w:pPr>
      <w:r>
        <w:rPr>
          <w:b/>
          <w:sz w:val="32"/>
          <w:szCs w:val="32"/>
        </w:rPr>
        <w:t xml:space="preserve">Аттестационный </w:t>
      </w:r>
    </w:p>
    <w:p>
      <w:pPr>
        <w:jc w:val="center"/>
      </w:pPr>
    </w:p>
    <w:sectPr>
      <w:pgSz w:w="11900" w:h="16840"/>
      <w:pgMar w:top="880" w:right="880" w:bottom="880" w:left="880" w:header="720" w:footer="720" w:gutter="0"/>
      <w:cols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Times New Roman">
    <w:panose1 w:val="02020603050405020304"/>
    <w:notTrueType w:val="true"/>
    <w:sig w:usb0="E0002EFF" w:usb1="C000785B" w:usb2="00000009" w:usb3="00000001" w:csb0="400001FF" w:csb1="FFFF0000"/>
  </w:font>
  <w:font w:name="Calibri">
    <w:panose1 w:val="020F0502020204030204"/>
    <w:notTrueType w:val="true"/>
    <w:sig w:usb0="E4002EFF" w:usb1="C000247B" w:usb2="00000009" w:usb3="00000001" w:csb0="200001FF" w:csb1="00000001"/>
  </w:font>
  <w:font w:name="SimSun">
    <w:panose1 w:val="02010600030101010101"/>
    <w:notTrueType w:val="true"/>
    <w:sig w:usb0="00000003" w:usb1="288F0000" w:usb2="00000006" w:usb3="00000001" w:csb0="00040001" w:csb1="00000001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14="http://schemas.microsoft.com/office/word/2010/wordml" xmlns:wne="http://schemas.microsoft.com/office/word/2006/wordml">
  <w:abstractNum w:abstractNumId="0">
    <w:nsid w:val="6e2b2b95"/>
    <w:multiLevelType w:val="multilevel"/>
    <w:tmpl w:val="7e5c0d34"/>
    <w:lvl w:ilvl="0">
      <w:start w:val="1"/>
      <w:numFmt w:val="none"/>
      <w:lvlJc w:val="left"/>
      <w:suff w:val="nothing"/>
      <w:pPr>
        <w:ind w:left="432" w:hanging="432"/>
        <w:tabs>
          <w:tab w:val="num" w:pos="432"/>
        </w:tabs>
      </w:pPr>
    </w:lvl>
    <w:lvl w:ilvl="1">
      <w:start w:val="1"/>
      <w:numFmt w:val="none"/>
      <w:lvlJc w:val="left"/>
      <w:suff w:val="nothing"/>
      <w:pPr>
        <w:ind w:left="576" w:hanging="576"/>
        <w:tabs>
          <w:tab w:val="num" w:pos="576"/>
        </w:tabs>
      </w:pPr>
    </w:lvl>
    <w:lvl w:ilvl="2">
      <w:start w:val="1"/>
      <w:numFmt w:val="none"/>
      <w:lvlJc w:val="left"/>
      <w:suff w:val="nothing"/>
      <w:pPr>
        <w:ind w:left="720" w:hanging="720"/>
        <w:tabs>
          <w:tab w:val="num" w:pos="720"/>
        </w:tabs>
      </w:pPr>
    </w:lvl>
    <w:lvl w:ilvl="3">
      <w:start w:val="1"/>
      <w:numFmt w:val="none"/>
      <w:lvlJc w:val="left"/>
      <w:suff w:val="nothing"/>
      <w:pPr>
        <w:ind w:left="864" w:hanging="864"/>
        <w:tabs>
          <w:tab w:val="num" w:pos="864"/>
        </w:tabs>
      </w:pPr>
    </w:lvl>
    <w:lvl w:ilvl="4">
      <w:start w:val="1"/>
      <w:numFmt w:val="none"/>
      <w:lvlJc w:val="left"/>
      <w:suff w:val="nothing"/>
      <w:pPr>
        <w:ind w:left="1008" w:hanging="1008"/>
        <w:tabs>
          <w:tab w:val="num" w:pos="1008"/>
        </w:tabs>
      </w:pPr>
    </w:lvl>
    <w:lvl w:ilvl="5">
      <w:start w:val="1"/>
      <w:numFmt w:val="none"/>
      <w:lvlJc w:val="left"/>
      <w:suff w:val="nothing"/>
      <w:pPr>
        <w:ind w:left="1152" w:hanging="1152"/>
        <w:tabs>
          <w:tab w:val="num" w:pos="1152"/>
        </w:tabs>
      </w:pPr>
    </w:lvl>
    <w:lvl w:ilvl="6">
      <w:start w:val="1"/>
      <w:numFmt w:val="none"/>
      <w:lvlJc w:val="left"/>
      <w:suff w:val="nothing"/>
      <w:pPr>
        <w:ind w:left="1296" w:hanging="1296"/>
        <w:tabs>
          <w:tab w:val="num" w:pos="1296"/>
        </w:tabs>
      </w:pPr>
    </w:lvl>
    <w:lvl w:ilvl="7">
      <w:start w:val="1"/>
      <w:numFmt w:val="none"/>
      <w:lvlJc w:val="left"/>
      <w:suff w:val="nothing"/>
      <w:pPr>
        <w:ind w:left="1440" w:hanging="1440"/>
        <w:tabs>
          <w:tab w:val="num" w:pos="1440"/>
        </w:tabs>
      </w:pPr>
    </w:lvl>
    <w:lvl w:ilvl="8">
      <w:start w:val="1"/>
      <w:numFmt w:val="none"/>
      <w:lvlJc w:val="left"/>
      <w:suff w:val="nothing"/>
      <w:pPr>
        <w:ind w:left="1584" w:hanging="1584"/>
        <w:tabs>
          <w:tab w:val="num" w:pos="1584"/>
        </w:tabs>
      </w:pPr>
    </w:lvl>
  </w:abstractNum>
  <w:abstractNum w:abstractNumId="1">
    <w:nsid w:val="6e2b2b95"/>
    <w:multiLevelType w:val="multilevel"/>
    <w:tmpl w:val="7e5c0d34"/>
    <w:lvl w:ilvl="0">
      <w:start w:val="1"/>
      <w:numFmt w:val="none"/>
      <w:lvlJc w:val="left"/>
      <w:suff w:val="nothing"/>
      <w:pPr>
        <w:ind w:left="432" w:hanging="432"/>
        <w:tabs>
          <w:tab w:val="num" w:pos="432"/>
        </w:tabs>
      </w:pPr>
    </w:lvl>
    <w:lvl w:ilvl="1">
      <w:start w:val="1"/>
      <w:numFmt w:val="none"/>
      <w:lvlJc w:val="left"/>
      <w:suff w:val="nothing"/>
      <w:pPr>
        <w:ind w:left="576" w:hanging="576"/>
        <w:tabs>
          <w:tab w:val="num" w:pos="576"/>
        </w:tabs>
      </w:pPr>
    </w:lvl>
    <w:lvl w:ilvl="2">
      <w:start w:val="1"/>
      <w:numFmt w:val="none"/>
      <w:lvlJc w:val="left"/>
      <w:suff w:val="nothing"/>
      <w:pPr>
        <w:ind w:left="720" w:hanging="720"/>
        <w:tabs>
          <w:tab w:val="num" w:pos="720"/>
        </w:tabs>
      </w:pPr>
    </w:lvl>
    <w:lvl w:ilvl="3">
      <w:start w:val="1"/>
      <w:numFmt w:val="none"/>
      <w:lvlJc w:val="left"/>
      <w:suff w:val="nothing"/>
      <w:pPr>
        <w:ind w:left="864" w:hanging="864"/>
        <w:tabs>
          <w:tab w:val="num" w:pos="864"/>
        </w:tabs>
      </w:pPr>
    </w:lvl>
    <w:lvl w:ilvl="4">
      <w:start w:val="1"/>
      <w:numFmt w:val="none"/>
      <w:lvlJc w:val="left"/>
      <w:suff w:val="nothing"/>
      <w:pPr>
        <w:ind w:left="1008" w:hanging="1008"/>
        <w:tabs>
          <w:tab w:val="num" w:pos="1008"/>
        </w:tabs>
      </w:pPr>
    </w:lvl>
    <w:lvl w:ilvl="5">
      <w:start w:val="1"/>
      <w:numFmt w:val="none"/>
      <w:lvlJc w:val="left"/>
      <w:suff w:val="nothing"/>
      <w:pPr>
        <w:ind w:left="1152" w:hanging="1152"/>
        <w:tabs>
          <w:tab w:val="num" w:pos="1152"/>
        </w:tabs>
      </w:pPr>
    </w:lvl>
    <w:lvl w:ilvl="6">
      <w:start w:val="1"/>
      <w:numFmt w:val="none"/>
      <w:lvlJc w:val="left"/>
      <w:suff w:val="nothing"/>
      <w:pPr>
        <w:ind w:left="1296" w:hanging="1296"/>
        <w:tabs>
          <w:tab w:val="num" w:pos="1296"/>
        </w:tabs>
      </w:pPr>
    </w:lvl>
    <w:lvl w:ilvl="7">
      <w:start w:val="1"/>
      <w:numFmt w:val="none"/>
      <w:lvlJc w:val="left"/>
      <w:suff w:val="nothing"/>
      <w:pPr>
        <w:ind w:left="1440" w:hanging="1440"/>
        <w:tabs>
          <w:tab w:val="num" w:pos="1440"/>
        </w:tabs>
      </w:pPr>
    </w:lvl>
    <w:lvl w:ilvl="8">
      <w:start w:val="1"/>
      <w:numFmt w:val="none"/>
      <w:lvlJc w:val="left"/>
      <w:suff w:val="nothing"/>
      <w:pPr>
        <w:ind w:left="1584" w:hanging="1584"/>
        <w:tabs>
          <w:tab w:val="num" w:pos="1584"/>
        </w:tabs>
      </w:pPr>
    </w:lvl>
  </w:abstractNum>
  <w:abstractNum w:abstractNumId="2">
    <w:nsid w:val="6e2b2b95"/>
    <w:multiLevelType w:val="multilevel"/>
    <w:tmpl w:val="7e5c0d34"/>
    <w:lvl w:ilvl="0">
      <w:start w:val="1"/>
      <w:numFmt w:val="none"/>
      <w:lvlJc w:val="left"/>
      <w:suff w:val="nothing"/>
      <w:pPr>
        <w:ind w:left="432" w:hanging="432"/>
        <w:tabs>
          <w:tab w:val="num" w:pos="432"/>
        </w:tabs>
      </w:pPr>
    </w:lvl>
    <w:lvl w:ilvl="1">
      <w:start w:val="1"/>
      <w:numFmt w:val="none"/>
      <w:lvlJc w:val="left"/>
      <w:suff w:val="nothing"/>
      <w:pPr>
        <w:ind w:left="576" w:hanging="576"/>
        <w:tabs>
          <w:tab w:val="num" w:pos="576"/>
        </w:tabs>
      </w:pPr>
    </w:lvl>
    <w:lvl w:ilvl="2">
      <w:start w:val="1"/>
      <w:numFmt w:val="none"/>
      <w:lvlJc w:val="left"/>
      <w:suff w:val="nothing"/>
      <w:pPr>
        <w:ind w:left="720" w:hanging="720"/>
        <w:tabs>
          <w:tab w:val="num" w:pos="720"/>
        </w:tabs>
      </w:pPr>
    </w:lvl>
    <w:lvl w:ilvl="3">
      <w:start w:val="1"/>
      <w:numFmt w:val="none"/>
      <w:lvlJc w:val="left"/>
      <w:suff w:val="nothing"/>
      <w:pPr>
        <w:ind w:left="864" w:hanging="864"/>
        <w:tabs>
          <w:tab w:val="num" w:pos="864"/>
        </w:tabs>
      </w:pPr>
    </w:lvl>
    <w:lvl w:ilvl="4">
      <w:start w:val="1"/>
      <w:numFmt w:val="none"/>
      <w:lvlJc w:val="left"/>
      <w:suff w:val="nothing"/>
      <w:pPr>
        <w:ind w:left="1008" w:hanging="1008"/>
        <w:tabs>
          <w:tab w:val="num" w:pos="1008"/>
        </w:tabs>
      </w:pPr>
    </w:lvl>
    <w:lvl w:ilvl="5">
      <w:start w:val="1"/>
      <w:numFmt w:val="none"/>
      <w:lvlJc w:val="left"/>
      <w:suff w:val="nothing"/>
      <w:pPr>
        <w:ind w:left="1152" w:hanging="1152"/>
        <w:tabs>
          <w:tab w:val="num" w:pos="1152"/>
        </w:tabs>
      </w:pPr>
    </w:lvl>
    <w:lvl w:ilvl="6">
      <w:start w:val="1"/>
      <w:numFmt w:val="none"/>
      <w:lvlJc w:val="left"/>
      <w:suff w:val="nothing"/>
      <w:pPr>
        <w:ind w:left="1296" w:hanging="1296"/>
        <w:tabs>
          <w:tab w:val="num" w:pos="1296"/>
        </w:tabs>
      </w:pPr>
    </w:lvl>
    <w:lvl w:ilvl="7">
      <w:start w:val="1"/>
      <w:numFmt w:val="none"/>
      <w:lvlJc w:val="left"/>
      <w:suff w:val="nothing"/>
      <w:pPr>
        <w:ind w:left="1440" w:hanging="1440"/>
        <w:tabs>
          <w:tab w:val="num" w:pos="1440"/>
        </w:tabs>
      </w:pPr>
    </w:lvl>
    <w:lvl w:ilvl="8">
      <w:start w:val="1"/>
      <w:numFmt w:val="none"/>
      <w:lvlJc w:val="left"/>
      <w:suff w:val="nothing"/>
      <w:pPr>
        <w:ind w:left="1584" w:hanging="1584"/>
        <w:tabs>
          <w:tab w:val="num" w:pos="1584"/>
        </w:tabs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removePersonalInformation/>
  <w:bordersDontSurroundHeader/>
  <w:bordersDontSurroundFooter/>
  <w:hideGrammaticalErrors/>
  <w:proofState w:spelling="clean" w:grammar="clean"/>
  <w:drawingGridHorizontalSpacing w:val="1000"/>
  <w:drawingGridVerticalSpacing w:val="1000"/>
  <w:displayHorizontalDrawingGridEvery w:val="1"/>
  <w:displayVerticalDrawingGridEvery w:val="1"/>
  <w:characterSpacingControl w:val="doNotCompress"/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" w:eastAsia="" w:bidi="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hint="default"/>
        <w:color w:val="000000"/>
        <w:sz w:val="24"/>
      </w:rPr>
    </w:rPrDefault>
    <w:pPrDefault>
      <w:pPr>
        <w:spacing w:after="160" w:line="259" w:lineRule="auto"/>
      </w:pPr>
    </w:pPrDefault>
  </w:docDefaults>
  <w:style w:type="paragraph" w:default="1" w:styleId="a1">
    <w:name w:val="Normal"/>
    <w:qFormat/>
  </w:style>
  <w:style w:type="character" w:default="1" w:styleId="a2">
    <w:name w:val="Default Paragraph Font"/>
    <w:semiHidden/>
    <w:unhideWhenUsed/>
  </w:style>
  <w:style w:type="table" w:default="1" w:styleId="a3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  <w:style w:type="character" w:customStyle="1" w:styleId="22">
    <w:name w:val="Заголовок 2 Знак"/>
    <w:basedOn w:val="a2"/>
    <w:link w:val="heading 2"/>
    <w:rPr>
      <w:rFonts w:asciiTheme="majorHAnsi" w:eastAsiaTheme="majorEastAsia" w:hAnsiTheme="majorHAnsi" w:cstheme="majorBidi"/>
      <w:color w:val="2E74B5"/>
      <w:sz w:val="26"/>
      <w:szCs w:val="26"/>
    </w:rPr>
  </w:style>
  <w:style w:type="character" w:customStyle="1" w:styleId="aff9">
    <w:name w:val="Основной текст с отступом Знак"/>
    <w:basedOn w:val="a2"/>
    <w:link w:val="Body Text Indent"/>
  </w:style>
  <w:style w:type="character" w:customStyle="1" w:styleId="aff5">
    <w:name w:val="Основной текст Знак"/>
    <w:basedOn w:val="a2"/>
    <w:link w:val="Body Text"/>
  </w:style>
  <w:style w:type="paragraph" w:styleId="a5">
    <w:name w:val="No Spacing"/>
    <w:qFormat/>
    <w:pPr>
      <w:spacing w:after="0" w:line="240" w:lineRule="auto"/>
    </w:pPr>
  </w:style>
  <w:style w:type="paragraph" w:styleId="21">
    <w:name w:val="heading 2"/>
    <w:basedOn w:val="a1"/>
    <w:next w:val="a1"/>
    <w:link w:val="Заголовок 2 Знак"/>
    <w:qFormat/>
    <w:pPr>
      <w:keepNext/>
      <w:keepLines/>
      <w:outlineLvl w:val="1"/>
      <w:spacing w:after="0" w:before="40"/>
    </w:pPr>
    <w:rPr>
      <w:rFonts w:asciiTheme="majorHAnsi" w:eastAsiaTheme="majorEastAsia" w:hAnsiTheme="majorHAnsi" w:cstheme="majorBidi"/>
      <w:color w:val="2E74B5"/>
      <w:sz w:val="26"/>
      <w:szCs w:val="26"/>
    </w:rPr>
  </w:style>
  <w:style w:type="paragraph" w:styleId="af3">
    <w:name w:val="List Paragraph"/>
    <w:basedOn w:val="a1"/>
    <w:qFormat/>
    <w:pPr>
      <w:ind w:left="720"/>
      <w:contextualSpacing/>
    </w:pPr>
  </w:style>
  <w:style w:type="paragraph" w:styleId="aff8">
    <w:name w:val="Body Text Indent"/>
    <w:basedOn w:val="a1"/>
    <w:link w:val="Основной текст с отступом Знак"/>
    <w:pPr>
      <w:ind w:left="283"/>
      <w:spacing w:after="120"/>
    </w:pPr>
  </w:style>
  <w:style w:type="paragraph" w:styleId="aff4">
    <w:name w:val="Body Text"/>
    <w:basedOn w:val="a1"/>
    <w:link w:val="Основной текст Знак"/>
    <w:pPr>
      <w:spacing w:after="120"/>
    </w:pPr>
  </w:style>
  <w:style w:type="paragraph" w:customStyle="1" w:styleId="a6">
    <w:name w:val="Базовый"/>
    <w:pPr>
      <w:suppressAutoHyphens/>
      <w:suppressAutoHyphens/>
      <w:tabs>
        <w:tab w:val="left" w:pos="708"/>
      </w:tabs>
    </w:pPr>
    <w:rPr>
      <w:rFonts w:ascii="Calibri" w:eastAsia="SimSun" w:hAnsi="Calibri" w:cs="Times New Roman"/>
      <w:color w:val="00000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styles" Target="styles.xml" /><Relationship Id="rId37" Type="http://schemas.openxmlformats.org/officeDocument/2006/relationships/settings" Target="settings.xml" /><Relationship Id="rId38" Type="http://schemas.openxmlformats.org/officeDocument/2006/relationships/fontTable" Target="fontTable.xml" /><Relationship Id="rId39" Type="http://schemas.openxmlformats.org/officeDocument/2006/relationships/webSettings" Target="webSettings.xml" /><Relationship Id="rId40" Type="http://schemas.openxmlformats.org/officeDocument/2006/relationships/numbering" Target="numbering.xml" /><Relationship Id="rId41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lastClr="000000" val="windowText"/>
      </a:dk1>
      <a:lt1>
        <a:sysClr lastClr="FFFFFF"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MS Gothic"/>
        <a:font script="Hang" typeface="맑은 고딕"/>
        <a:font script="Hans" typeface="SimSun"/>
        <a:font script="Hant" typeface="PMingLiU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MS Mincho"/>
        <a:font script="Hang" typeface="맑은 고딕"/>
        <a:font script="Hans" typeface="SimSun"/>
        <a:font script="Hant" typeface="PMingLiU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Apache POI</dc:creator>
  <cp:keywords/>
  <dc:description/>
  <cp:lastModifiedBy>Acer</cp:lastModifiedBy>
  <cp:revision>1</cp:revision>
  <dcterms:created xsi:type="dcterms:W3CDTF">2020-05-21T20:51:57Z</dcterms:created>
  <dcterms:modified xsi:type="dcterms:W3CDTF">2020-05-22T04:32:00Z</dcterms:modified>
  <cp:version>0900.0000.01</cp:version>
</cp:coreProperties>
</file>