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24" w:rsidRPr="00F46B3B" w:rsidRDefault="00B64824" w:rsidP="00B6482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Войно-Ясенецкого</w:t>
      </w:r>
      <w:proofErr w:type="spellEnd"/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Министерства здравоохранения Российской Федерации </w:t>
      </w: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  <w:r>
        <w:t xml:space="preserve">Кафедра Педиатрии ИПО </w:t>
      </w:r>
    </w:p>
    <w:p w:rsidR="00B64824" w:rsidRDefault="00B64824" w:rsidP="00B64824">
      <w:pPr>
        <w:jc w:val="center"/>
      </w:pPr>
    </w:p>
    <w:p w:rsidR="00B64824" w:rsidRDefault="00B64824" w:rsidP="00B64824">
      <w:pPr>
        <w:jc w:val="right"/>
      </w:pPr>
      <w:r>
        <w:t xml:space="preserve">Зав. кафедрой: д.м.н., профессор Таранушенко Т.Е. </w:t>
      </w:r>
    </w:p>
    <w:p w:rsidR="00B64824" w:rsidRDefault="00B64824" w:rsidP="00B64824">
      <w:pPr>
        <w:jc w:val="right"/>
      </w:pPr>
      <w:r>
        <w:t xml:space="preserve">Проверила: </w:t>
      </w:r>
      <w:proofErr w:type="spellStart"/>
      <w:r w:rsidR="002A3724">
        <w:t>кмн</w:t>
      </w:r>
      <w:proofErr w:type="spellEnd"/>
      <w:r w:rsidR="002A3724">
        <w:t xml:space="preserve"> </w:t>
      </w:r>
      <w:proofErr w:type="spellStart"/>
      <w:r w:rsidR="002A3724">
        <w:t>Кадричева</w:t>
      </w:r>
      <w:proofErr w:type="spellEnd"/>
      <w:r w:rsidR="002A3724">
        <w:t xml:space="preserve"> Т.Г.</w:t>
      </w:r>
      <w:r>
        <w:t xml:space="preserve"> </w:t>
      </w: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Pr="00F46B3B" w:rsidRDefault="00B64824" w:rsidP="00B6482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Реферат на тему: </w:t>
      </w:r>
      <w:proofErr w:type="spellStart"/>
      <w:r w:rsidR="002A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Гистиоцитоз</w:t>
      </w:r>
      <w:proofErr w:type="spellEnd"/>
      <w:r w:rsidR="002A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клеток </w:t>
      </w:r>
      <w:proofErr w:type="spellStart"/>
      <w:r w:rsidR="002A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Лангерганса</w:t>
      </w:r>
      <w:proofErr w:type="spellEnd"/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</w:p>
    <w:p w:rsidR="00B64824" w:rsidRDefault="00B64824" w:rsidP="00B64824">
      <w:pPr>
        <w:jc w:val="right"/>
      </w:pPr>
      <w:r>
        <w:t xml:space="preserve">Выполнил: врач-ординатор Звонарёв П.А. </w:t>
      </w: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</w:p>
    <w:p w:rsidR="00B64824" w:rsidRDefault="00B64824" w:rsidP="00B64824">
      <w:pPr>
        <w:jc w:val="center"/>
      </w:pPr>
      <w:r>
        <w:t>Красноярск 2023 г</w:t>
      </w:r>
    </w:p>
    <w:p w:rsidR="00B64824" w:rsidRDefault="00B64824" w:rsidP="00B64824">
      <w:pPr>
        <w:pStyle w:val="2"/>
        <w:jc w:val="center"/>
      </w:pPr>
    </w:p>
    <w:sdt>
      <w:sdtPr>
        <w:id w:val="646800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5547E6" w:rsidRDefault="005547E6">
          <w:pPr>
            <w:pStyle w:val="a8"/>
          </w:pPr>
          <w:r>
            <w:t>Оглавление</w:t>
          </w:r>
        </w:p>
        <w:p w:rsidR="005547E6" w:rsidRPr="005547E6" w:rsidRDefault="005547E6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5547E6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begin"/>
          </w:r>
          <w:r w:rsidRPr="005547E6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instrText xml:space="preserve"> TOC \o "1-3" \h \z \u </w:instrText>
          </w:r>
          <w:r w:rsidRPr="005547E6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separate"/>
          </w:r>
          <w:hyperlink w:anchor="_Toc141309864" w:history="1">
            <w:r w:rsidRPr="0055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_Toc141309864 \h </w:instrTex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3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5547E6" w:rsidRPr="005547E6" w:rsidRDefault="005547E6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41309865" w:history="1">
            <w:r w:rsidRPr="0055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картина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_Toc141309865 \h </w:instrTex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4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5547E6" w:rsidRPr="005547E6" w:rsidRDefault="005547E6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41309866" w:history="1">
            <w:r w:rsidRPr="0055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_Toc141309866 \h </w:instrTex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6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5547E6" w:rsidRPr="005547E6" w:rsidRDefault="005547E6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41309867" w:history="1">
            <w:r w:rsidRPr="0055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Гистопатологические признаки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_Toc141309867 \h </w:instrTex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7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5547E6" w:rsidRPr="005547E6" w:rsidRDefault="005547E6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41309868" w:history="1">
            <w:r w:rsidRPr="0055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_Toc141309868 \h </w:instrTex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8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5547E6" w:rsidRPr="005547E6" w:rsidRDefault="005547E6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41309869" w:history="1">
            <w:r w:rsidRPr="0055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риска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_Toc141309869 \h </w:instrTex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9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5547E6" w:rsidRPr="005547E6" w:rsidRDefault="005547E6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41309870" w:history="1">
            <w:r w:rsidRPr="0055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препараты, используемые в терапии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_Toc141309870 \h </w:instrTex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10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5547E6" w:rsidRPr="005547E6" w:rsidRDefault="005547E6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41309871" w:history="1">
            <w:r w:rsidRPr="0055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 в соответствии с группами риска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_Toc141309871 \h </w:instrTex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12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5547E6" w:rsidRPr="005547E6" w:rsidRDefault="005547E6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41309872" w:history="1">
            <w:r w:rsidRPr="0055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 ответа на терапию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_Toc141309872 \h </w:instrTex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14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5547E6" w:rsidRPr="005547E6" w:rsidRDefault="005547E6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41309873" w:history="1">
            <w:r w:rsidRPr="0055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_Toc141309873 \h </w:instrTex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15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5547E6" w:rsidRPr="005547E6" w:rsidRDefault="005547E6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41309874" w:history="1">
            <w:r w:rsidRPr="0055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_Toc141309874 \h </w:instrTex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16</w:t>
            </w:r>
            <w:r w:rsidRPr="005547E6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5547E6" w:rsidRDefault="005547E6">
          <w:r w:rsidRPr="005547E6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end"/>
          </w:r>
        </w:p>
      </w:sdtContent>
    </w:sdt>
    <w:p w:rsidR="004653E1" w:rsidRDefault="004653E1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/>
    <w:p w:rsidR="002A3724" w:rsidRDefault="002A3724" w:rsidP="002A3724">
      <w:pPr>
        <w:pStyle w:val="2"/>
        <w:jc w:val="center"/>
      </w:pPr>
      <w:bookmarkStart w:id="0" w:name="_Toc141309864"/>
      <w:r>
        <w:lastRenderedPageBreak/>
        <w:t>Введение</w:t>
      </w:r>
      <w:bookmarkEnd w:id="0"/>
    </w:p>
    <w:p w:rsidR="002A3724" w:rsidRPr="00A57265" w:rsidRDefault="002A3724" w:rsidP="00A57265">
      <w:pPr>
        <w:pStyle w:val="a5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A57265">
        <w:rPr>
          <w:color w:val="000000"/>
          <w:sz w:val="28"/>
          <w:szCs w:val="28"/>
        </w:rPr>
        <w:t>Лангергансоклеточный</w:t>
      </w:r>
      <w:proofErr w:type="spellEnd"/>
      <w:r w:rsidRPr="00A57265">
        <w:rPr>
          <w:color w:val="000000"/>
          <w:sz w:val="28"/>
          <w:szCs w:val="28"/>
        </w:rPr>
        <w:t xml:space="preserve"> </w:t>
      </w:r>
      <w:proofErr w:type="spellStart"/>
      <w:r w:rsidRPr="00A57265">
        <w:rPr>
          <w:color w:val="000000"/>
          <w:sz w:val="28"/>
          <w:szCs w:val="28"/>
        </w:rPr>
        <w:t>гистиоцитоз</w:t>
      </w:r>
      <w:proofErr w:type="spellEnd"/>
      <w:r w:rsidRPr="00A57265">
        <w:rPr>
          <w:color w:val="000000"/>
          <w:sz w:val="28"/>
          <w:szCs w:val="28"/>
        </w:rPr>
        <w:t xml:space="preserve"> (ГЛК) — редкое гетерогенное пролиферативное заболевание, в основе которого лежат пролиферация и накопление в органах и тканях структурно и функционально аномальных клеток </w:t>
      </w:r>
      <w:proofErr w:type="spellStart"/>
      <w:r w:rsidRPr="00A57265">
        <w:rPr>
          <w:color w:val="000000"/>
          <w:sz w:val="28"/>
          <w:szCs w:val="28"/>
        </w:rPr>
        <w:t>Лангерганса</w:t>
      </w:r>
      <w:proofErr w:type="spellEnd"/>
      <w:r w:rsidRPr="00A57265">
        <w:rPr>
          <w:color w:val="000000"/>
          <w:sz w:val="28"/>
          <w:szCs w:val="28"/>
        </w:rPr>
        <w:t xml:space="preserve"> (</w:t>
      </w:r>
      <w:proofErr w:type="spellStart"/>
      <w:r w:rsidRPr="00A57265">
        <w:rPr>
          <w:color w:val="000000"/>
          <w:sz w:val="28"/>
          <w:szCs w:val="28"/>
        </w:rPr>
        <w:t>фенотипически</w:t>
      </w:r>
      <w:proofErr w:type="spellEnd"/>
      <w:r w:rsidRPr="00A57265">
        <w:rPr>
          <w:color w:val="000000"/>
          <w:sz w:val="28"/>
          <w:szCs w:val="28"/>
        </w:rPr>
        <w:t xml:space="preserve"> CD1a+/CD207+), вызывая локальное повреждение и нарушение функции органов. </w:t>
      </w:r>
      <w:proofErr w:type="gramStart"/>
      <w:r w:rsidRPr="00A57265">
        <w:rPr>
          <w:color w:val="000000"/>
          <w:sz w:val="28"/>
          <w:szCs w:val="28"/>
        </w:rPr>
        <w:t xml:space="preserve">Разнообразные клинические проявления заболевания, от </w:t>
      </w:r>
      <w:proofErr w:type="spellStart"/>
      <w:r w:rsidRPr="00A57265">
        <w:rPr>
          <w:color w:val="000000"/>
          <w:sz w:val="28"/>
          <w:szCs w:val="28"/>
        </w:rPr>
        <w:t>саморазрешающихся</w:t>
      </w:r>
      <w:proofErr w:type="spellEnd"/>
      <w:r w:rsidRPr="00A57265">
        <w:rPr>
          <w:color w:val="000000"/>
          <w:sz w:val="28"/>
          <w:szCs w:val="28"/>
        </w:rPr>
        <w:t xml:space="preserve"> локализованных до диссеминированных с угрозой для жизни, зачастую вызывают непонимание и неадекватную оценку состояния пациента у врачей.</w:t>
      </w:r>
      <w:proofErr w:type="gramEnd"/>
      <w:r w:rsidRPr="00A57265">
        <w:rPr>
          <w:color w:val="000000"/>
          <w:sz w:val="28"/>
          <w:szCs w:val="28"/>
        </w:rPr>
        <w:t xml:space="preserve"> Ежегодно выявляется от 0,5 до 10 случаев на 1 </w:t>
      </w:r>
      <w:proofErr w:type="spellStart"/>
      <w:proofErr w:type="gramStart"/>
      <w:r w:rsidRPr="00A57265">
        <w:rPr>
          <w:color w:val="000000"/>
          <w:sz w:val="28"/>
          <w:szCs w:val="28"/>
        </w:rPr>
        <w:t>млн</w:t>
      </w:r>
      <w:proofErr w:type="spellEnd"/>
      <w:proofErr w:type="gramEnd"/>
      <w:r w:rsidRPr="00A57265">
        <w:rPr>
          <w:color w:val="000000"/>
          <w:sz w:val="28"/>
          <w:szCs w:val="28"/>
        </w:rPr>
        <w:t xml:space="preserve"> населения. Преимущественно болеют дети в возрасте до 15 лет, значительная доля пациентов — дети 1-го года жизни. Средний возраст детей на момент установления диагноза примерно 3 года. Соотношение мальчиков и девочек 2:1.</w:t>
      </w:r>
    </w:p>
    <w:p w:rsidR="002A3724" w:rsidRPr="00A57265" w:rsidRDefault="002A3724" w:rsidP="00A57265">
      <w:pPr>
        <w:pStyle w:val="a5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A57265">
        <w:rPr>
          <w:color w:val="000000"/>
          <w:sz w:val="28"/>
          <w:szCs w:val="28"/>
        </w:rPr>
        <w:t xml:space="preserve">Причины ГЛК неизвестны. До сих пор не получено убедительных данных в пользу генетической предрасположенности или инфекционной этиологии. Приблизительно у 50% пациентов в аномальных клетках </w:t>
      </w:r>
      <w:proofErr w:type="spellStart"/>
      <w:r w:rsidRPr="00A57265">
        <w:rPr>
          <w:color w:val="000000"/>
          <w:sz w:val="28"/>
          <w:szCs w:val="28"/>
        </w:rPr>
        <w:t>Лангерганса</w:t>
      </w:r>
      <w:proofErr w:type="spellEnd"/>
      <w:r w:rsidRPr="00A57265">
        <w:rPr>
          <w:color w:val="000000"/>
          <w:sz w:val="28"/>
          <w:szCs w:val="28"/>
        </w:rPr>
        <w:t xml:space="preserve"> выявляют соматическую мутацию V600E в гене </w:t>
      </w:r>
      <w:r w:rsidRPr="00A57265">
        <w:rPr>
          <w:i/>
          <w:iCs/>
          <w:sz w:val="28"/>
          <w:szCs w:val="28"/>
        </w:rPr>
        <w:t>BRAF</w:t>
      </w:r>
      <w:r w:rsidRPr="00A57265">
        <w:rPr>
          <w:color w:val="000000"/>
          <w:sz w:val="28"/>
          <w:szCs w:val="28"/>
        </w:rPr>
        <w:t xml:space="preserve">. Дальнейшие исследования с использованием современных сложных методов не показали стойких геномных аберраций. </w:t>
      </w:r>
    </w:p>
    <w:p w:rsidR="002A3724" w:rsidRPr="00A57265" w:rsidRDefault="002A3724" w:rsidP="00A57265">
      <w:pPr>
        <w:pStyle w:val="a5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A57265">
        <w:rPr>
          <w:color w:val="000000"/>
          <w:sz w:val="28"/>
          <w:szCs w:val="28"/>
        </w:rPr>
        <w:t xml:space="preserve">ГЛК сочетает черты неопластического и реактивного процесса. Основной механизм развития — </w:t>
      </w:r>
      <w:proofErr w:type="spellStart"/>
      <w:r w:rsidRPr="00A57265">
        <w:rPr>
          <w:color w:val="000000"/>
          <w:sz w:val="28"/>
          <w:szCs w:val="28"/>
        </w:rPr>
        <w:t>клональная</w:t>
      </w:r>
      <w:proofErr w:type="spellEnd"/>
      <w:r w:rsidRPr="00A57265">
        <w:rPr>
          <w:color w:val="000000"/>
          <w:sz w:val="28"/>
          <w:szCs w:val="28"/>
        </w:rPr>
        <w:t xml:space="preserve"> пролиферация патологических клеток </w:t>
      </w:r>
      <w:proofErr w:type="spellStart"/>
      <w:r w:rsidRPr="00A57265">
        <w:rPr>
          <w:color w:val="000000"/>
          <w:sz w:val="28"/>
          <w:szCs w:val="28"/>
        </w:rPr>
        <w:t>Лангерганса</w:t>
      </w:r>
      <w:proofErr w:type="spellEnd"/>
      <w:r w:rsidRPr="00A57265">
        <w:rPr>
          <w:color w:val="000000"/>
          <w:sz w:val="28"/>
          <w:szCs w:val="28"/>
        </w:rPr>
        <w:t xml:space="preserve"> и аномальная регуляция взаимодействия клеток иммунной системы в очагах поражения. Клеточный инфильтрат состоит из аномально активированных клеток </w:t>
      </w:r>
      <w:proofErr w:type="spellStart"/>
      <w:r w:rsidRPr="00A57265">
        <w:rPr>
          <w:color w:val="000000"/>
          <w:sz w:val="28"/>
          <w:szCs w:val="28"/>
        </w:rPr>
        <w:t>Лангерганса</w:t>
      </w:r>
      <w:proofErr w:type="spellEnd"/>
      <w:r w:rsidRPr="00A57265">
        <w:rPr>
          <w:color w:val="000000"/>
          <w:sz w:val="28"/>
          <w:szCs w:val="28"/>
        </w:rPr>
        <w:t xml:space="preserve">, лимфоцитов, эозинофилов, моноцитов, макрофагов. Недавно получены данные об участии в развитии патологического процесса IL-17A, что, несомненно, приводит исследователей к мысли о том, что ГЛК развивается вследствие </w:t>
      </w:r>
      <w:proofErr w:type="spellStart"/>
      <w:r w:rsidRPr="00A57265">
        <w:rPr>
          <w:color w:val="000000"/>
          <w:sz w:val="28"/>
          <w:szCs w:val="28"/>
        </w:rPr>
        <w:t>иммуннологической</w:t>
      </w:r>
      <w:proofErr w:type="spellEnd"/>
      <w:r w:rsidRPr="00A57265">
        <w:rPr>
          <w:color w:val="000000"/>
          <w:sz w:val="28"/>
          <w:szCs w:val="28"/>
        </w:rPr>
        <w:t xml:space="preserve"> аберрации.</w:t>
      </w:r>
    </w:p>
    <w:p w:rsidR="002A3724" w:rsidRDefault="002A3724" w:rsidP="00A57265">
      <w:pPr>
        <w:pStyle w:val="2"/>
        <w:jc w:val="center"/>
        <w:rPr>
          <w:shd w:val="clear" w:color="auto" w:fill="F3F5F8"/>
        </w:rPr>
      </w:pPr>
      <w:bookmarkStart w:id="1" w:name="_Toc141309865"/>
      <w:r>
        <w:rPr>
          <w:shd w:val="clear" w:color="auto" w:fill="F3F5F8"/>
        </w:rPr>
        <w:lastRenderedPageBreak/>
        <w:t>Клиническая картина</w:t>
      </w:r>
      <w:bookmarkEnd w:id="1"/>
    </w:p>
    <w:p w:rsidR="002A3724" w:rsidRPr="00A57265" w:rsidRDefault="002A3724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картина заболевания разнообразна и зависит от локализации очагов поражения. В патологический процесс могут быть вовлечены следующие органы и системы: скелет, кожа, лимфатические узлы, наружное ухо, печень, селезенка, костный мозг, легкие, эндокринные железы, центральная нервная система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желудочнокишечный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тракт, тимус и др.</w:t>
      </w:r>
      <w:r w:rsidR="00157D58"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7D58" w:rsidRPr="00A57265" w:rsidRDefault="00157D58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Скелет. Поражение костной системы встречается в 60—80% случаев. Поражение носит характер штампованных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остеолитических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очагов с четким контуром на рентгенограммах и выраженным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мягкотканным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компонентом. 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 локализация: свод черепа, глазница, тело позвонка, диафизы трубчатых костей, кости таза, ребра, сосцевидный отросток.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Поражение костей орбиты сопровождается экзофтальмом. При поражении костей, несущих осевую нагрузку, характерно развитие патологических переломов. В динамике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мягкотканный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инволюционирует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лигические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очаги заживают с формированием краевого склероза. Срок заживления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остеолитических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очагов варьирует от нескольких месяцев до нескольких лет.</w:t>
      </w:r>
    </w:p>
    <w:p w:rsidR="00157D58" w:rsidRPr="00A57265" w:rsidRDefault="00157D58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Кожа. Поражение кожи встречается в 40—50% случаев. Поражение носит характер распространенного дерматита. Пятнисто-папулезная сыпь с характерным бурым оттенком, корочками, геморрагическим компонентом. Характерная локализация: кожа головы, паховые складки, подмышечные впадины, туловище, заушная область, наружный слуховой проход. </w:t>
      </w:r>
    </w:p>
    <w:p w:rsidR="00157D58" w:rsidRPr="00A57265" w:rsidRDefault="00157D58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Лимфатические узлы. Поражение лимфатических узлов встречается в 10—15% случаев. Выявляется локальная либо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генерализованная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лимфаденопатия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Увеличение 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регионарных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лимфоузлов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ассоциированное с участками специфического дерматита. Лимфатические узлы могут образовывать конгломераты. </w:t>
      </w:r>
    </w:p>
    <w:p w:rsidR="00157D58" w:rsidRPr="00A57265" w:rsidRDefault="00157D58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Наружное ухо. Характерно длительное, рецидивирующее течение наружного отита, не отвечающего на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антимикробную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терапию. Часто ошибочно диагностируется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отомикоз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7D58" w:rsidRPr="00A57265" w:rsidRDefault="00157D58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Печень. Поражение печени встречается в 10—15% случаев. Клинически проявляется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гепатомегалией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желтухой, а также симптомами, ассоциированными с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печеночноклеточной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недостаточностью (периферические отеки, кровоточивость, энцефалопатия) и/или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холестазом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(зуд,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ксантомы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дефицит жирорастворимых витаминов). В исходе поражения печени формируются цирроз и портальная гипертензия.</w:t>
      </w:r>
    </w:p>
    <w:p w:rsidR="00157D58" w:rsidRPr="00A57265" w:rsidRDefault="00157D58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Селезенка. Выявляется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спленомегалия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ассоциированные с ней явления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гиперспленизма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7D58" w:rsidRPr="00A57265" w:rsidRDefault="00157D58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Костный мозг. Поражение костного мозга встречается в 10% случаев и ведет к его недостаточности: развитию анемии, тромбоцитопении, лейкопении и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нейтропении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Клинически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цитопенический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 проявляется симптомами анемии, кровоточивостью и инфекционными осложнениями, характерными 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глубокой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нейтропении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7D58" w:rsidRPr="00A57265" w:rsidRDefault="00157D58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Легкие. Поражение легких встречается в 10% случаев и может протекать бессимптомно либо проявляется одышкой, кашлем, снижением толерантности к физической нагрузке. Рентгенологически выявляются мелкоочаговые инфильтративные тени, на месте которых формируются множественные тонкостенные кисты и буллы. Спонтанный или индуцированный терапией разрыв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субплевральных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 может приводить к рецидивирующему пневмотораксу с развитием острой дыхательной недостаточности. В исходе поражения может формироваться фиброз легких и легочная гипертензия. </w:t>
      </w:r>
    </w:p>
    <w:p w:rsidR="00157D58" w:rsidRPr="00A57265" w:rsidRDefault="00157D58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Эндокринные железы. Наиболее характерно поражение задней доли гипофиза с формированием несахарного диабета, клинически проявляющимся полиурией и полидипсией. Встречается тотальное поражение гипофиза с развитием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пангипопитуигаризма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Поражение щитовидной железы, поджелудочной железы и других желез внутренней секреции может сопровождаться нарушением их функции с соответствующими клиническими проявлениями. Центральная нервная система. </w:t>
      </w:r>
    </w:p>
    <w:p w:rsidR="00157D58" w:rsidRPr="00A57265" w:rsidRDefault="00157D58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Поражение центральной нервной системы может носить очаговый дегенеративный характер либо характер объемного образования. Клиническая симптоматика включает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общемозговые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симптомы и очаговый неврологический дефицит, характер которого определяется локализацией поражения. </w:t>
      </w:r>
    </w:p>
    <w:p w:rsidR="00157D58" w:rsidRPr="00A57265" w:rsidRDefault="00157D58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Желудочно-кишечный тракт. Поражение желудочно-кишечного тракта проявляется клиникой энтероколита: тошнотой/рвотой/срыгиванием, диареей,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гемоколитом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редких случаях, развивается экссудативная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энтеропатия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потерей сывороточного белка.</w:t>
      </w:r>
      <w:proofErr w:type="gramEnd"/>
    </w:p>
    <w:p w:rsidR="002A3724" w:rsidRDefault="002A3724" w:rsidP="002A3724"/>
    <w:p w:rsidR="00157D58" w:rsidRDefault="00157D58" w:rsidP="002A3724"/>
    <w:p w:rsidR="006544F8" w:rsidRDefault="006544F8" w:rsidP="00157D58">
      <w:pPr>
        <w:pStyle w:val="2"/>
        <w:jc w:val="center"/>
        <w:rPr>
          <w:rStyle w:val="a4"/>
          <w:b/>
          <w:bCs/>
          <w:szCs w:val="20"/>
          <w:bdr w:val="none" w:sz="0" w:space="0" w:color="auto" w:frame="1"/>
        </w:rPr>
      </w:pPr>
      <w:bookmarkStart w:id="2" w:name="_Toc141309866"/>
      <w:r>
        <w:rPr>
          <w:rStyle w:val="a4"/>
          <w:b/>
          <w:bCs/>
          <w:szCs w:val="20"/>
          <w:bdr w:val="none" w:sz="0" w:space="0" w:color="auto" w:frame="1"/>
        </w:rPr>
        <w:lastRenderedPageBreak/>
        <w:t>Классификация</w:t>
      </w:r>
      <w:bookmarkEnd w:id="2"/>
    </w:p>
    <w:p w:rsidR="006544F8" w:rsidRPr="006544F8" w:rsidRDefault="006544F8" w:rsidP="006544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3 формы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лангергансоклеточного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гистиоцитоза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44F8" w:rsidRPr="006544F8" w:rsidRDefault="006544F8" w:rsidP="006544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Болезнь Хенда — Шюллера — Крисчена" w:history="1"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болезнь </w:t>
        </w:r>
        <w:proofErr w:type="spellStart"/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Хенда</w:t>
        </w:r>
        <w:proofErr w:type="spellEnd"/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 — </w:t>
        </w:r>
        <w:proofErr w:type="spellStart"/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Шюллера</w:t>
        </w:r>
        <w:proofErr w:type="spellEnd"/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 — </w:t>
        </w:r>
        <w:proofErr w:type="spellStart"/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Крисчена</w:t>
        </w:r>
        <w:proofErr w:type="spellEnd"/>
      </w:hyperlink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44F8" w:rsidRPr="006544F8" w:rsidRDefault="006544F8" w:rsidP="006544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ooltip="Болезнь Абта-Леттерера-Сиве" w:history="1"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болезнь </w:t>
        </w:r>
        <w:proofErr w:type="spellStart"/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Абта</w:t>
        </w:r>
        <w:proofErr w:type="spellEnd"/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 — </w:t>
        </w:r>
        <w:proofErr w:type="spellStart"/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Леттерера</w:t>
        </w:r>
        <w:proofErr w:type="spellEnd"/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 — </w:t>
        </w:r>
        <w:proofErr w:type="spellStart"/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Сиве</w:t>
        </w:r>
        <w:proofErr w:type="spellEnd"/>
      </w:hyperlink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44F8" w:rsidRPr="006544F8" w:rsidRDefault="006544F8" w:rsidP="006544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Болезнь Таратынова (страница отсутствует)" w:history="1"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болезнь </w:t>
        </w:r>
        <w:proofErr w:type="spellStart"/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Таратынова</w:t>
        </w:r>
        <w:proofErr w:type="spellEnd"/>
      </w:hyperlink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9" w:tooltip="Эозинофильная гранулёма (страница отсутствует)" w:history="1"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эозинофильная гранулёма</w:t>
        </w:r>
      </w:hyperlink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4F8" w:rsidRPr="006544F8" w:rsidRDefault="006544F8" w:rsidP="006544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отличаются как по течению, так и по прогнозу, но так как это 3 формы одного заболевания, могут наблюдаться их взаимные переходы.</w:t>
      </w:r>
    </w:p>
    <w:p w:rsidR="006544F8" w:rsidRPr="006544F8" w:rsidRDefault="006544F8" w:rsidP="006544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Болезнь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Хенда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Шюллера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Крисчена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поражать детей в любом возрасте. Характерны дефекты костей черепа, таза, </w:t>
      </w:r>
      <w:hyperlink r:id="rId10" w:tooltip="Экзофтальм" w:history="1"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экзофтальм</w:t>
        </w:r>
      </w:hyperlink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tooltip="Несахарный диабет" w:history="1"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несахарный диабет</w:t>
        </w:r>
      </w:hyperlink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ожирение, отставание в физическом развитии, 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"https://ru.wikipedia.org/wiki/%D0%93%D0%B5%D0%BF%D0%B0%D1%82%D0%BE%D0%BC%D0%B5%D0%B3%D0%B0%D0%BB%D0%B8%D1%8F" \o "Гепатомегалия" </w:instrText>
      </w: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гепатомегалия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"https://ru.wikipedia.org/wiki/%D0%9B%D0%B8%D0%BC%D1%84%D0%B0%D0%B4%D0%B5%D0%BD%D0%BE%D0%BF%D0%B0%D1%82%D0%B8%D1%8F" \o "Лимфаденопатия" </w:instrText>
      </w: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лимфаденопатия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петехиальная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сыпь, </w:t>
      </w:r>
      <w:hyperlink r:id="rId12" w:tooltip="Себорея" w:history="1"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себорея</w:t>
        </w:r>
      </w:hyperlink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изменения в лёгких, </w:t>
      </w:r>
      <w:hyperlink r:id="rId13" w:tooltip="Стоматит" w:history="1"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стоматиты</w:t>
        </w:r>
      </w:hyperlink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основному заболеванию может присоединиться вторичная инфекция.</w:t>
      </w:r>
    </w:p>
    <w:p w:rsidR="006544F8" w:rsidRPr="006544F8" w:rsidRDefault="006544F8" w:rsidP="006544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Болезнь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Абта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Леттерера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Сиве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чаще встречается у детей раннего возраста. Развивается остро, с высокой лихорадкой, кожными высыпаниями в области грудины и позвоночника,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гепатоспленомегалией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(увеличение печени и селезёнки),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генерализованным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увеличением лимфатических узлов, </w:t>
      </w:r>
      <w:hyperlink r:id="rId14" w:tooltip="Отит" w:history="1"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отитами</w:t>
        </w:r>
      </w:hyperlink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tooltip="Мастоидит" w:history="1"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мастоидитами</w:t>
        </w:r>
      </w:hyperlink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поражением лёгких, поражением плоских костей.</w:t>
      </w:r>
    </w:p>
    <w:p w:rsidR="006544F8" w:rsidRPr="006544F8" w:rsidRDefault="006544F8" w:rsidP="006544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Болезнь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Таратынова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наблюдается преимущественно у детей школьного возраста. </w:t>
      </w:r>
      <w:proofErr w:type="gram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Типичны: общая слабость, повышенная утомляемость, пониженный аппетит, боль в костях (поражаются как плоские, так и трубчатые кости), повышенная СОЭ, иногда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эозинофилия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ряде случаев болезнь протекает бессимптомно и заканчивается самопроизвольным излечением. На рентгенограммах костей обнаруживаются очаги деструкции, чаще округлой или овальной формы без зон склероза. В незначительном числе случаев клиническая картина болезни более яркая: несахарное мочеизнурение, </w:t>
      </w:r>
      <w:hyperlink r:id="rId16" w:tooltip="Экзофтальм" w:history="1"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экзофтальм</w:t>
        </w:r>
      </w:hyperlink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</w:t>
      </w:r>
      <w:proofErr w:type="gram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 </w:t>
      </w:r>
      <w:proofErr w:type="spellStart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"https://ru.wikipedia.org/wiki/%D0%93%D0%B5%D0%BF%D0%B0%D1%82%D0%BE%D1%81%D0%BF%D0%BB%D0%B5%D0%BD%D0%BE%D0%BC%D0%B5%D0%B3%D0%B0%D0%BB%D0%B8%D1%8F" \o "Гепатоспленомегалия" </w:instrText>
      </w: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гепатоспленомегалия</w:t>
      </w:r>
      <w:proofErr w:type="spellEnd"/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7" w:tooltip="Анемия" w:history="1">
        <w:r w:rsidRPr="00A572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анемия</w:t>
        </w:r>
      </w:hyperlink>
      <w:r w:rsidRPr="0065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различные изменения кожи и др.</w:t>
      </w:r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4F8" w:rsidRPr="00A57265" w:rsidRDefault="006544F8" w:rsidP="00157D58">
      <w:pPr>
        <w:pStyle w:val="2"/>
        <w:jc w:val="center"/>
        <w:rPr>
          <w:color w:val="000000"/>
          <w:sz w:val="28"/>
          <w:szCs w:val="28"/>
        </w:rPr>
      </w:pPr>
    </w:p>
    <w:p w:rsidR="006544F8" w:rsidRPr="00A57265" w:rsidRDefault="006544F8" w:rsidP="00157D58">
      <w:pPr>
        <w:pStyle w:val="2"/>
        <w:jc w:val="center"/>
        <w:rPr>
          <w:color w:val="000000"/>
          <w:sz w:val="28"/>
          <w:szCs w:val="28"/>
        </w:rPr>
      </w:pPr>
    </w:p>
    <w:p w:rsidR="006544F8" w:rsidRDefault="006544F8" w:rsidP="00157D58">
      <w:pPr>
        <w:pStyle w:val="2"/>
        <w:jc w:val="center"/>
        <w:rPr>
          <w:rStyle w:val="a4"/>
          <w:b/>
          <w:bCs/>
          <w:szCs w:val="20"/>
          <w:bdr w:val="none" w:sz="0" w:space="0" w:color="auto" w:frame="1"/>
        </w:rPr>
      </w:pPr>
    </w:p>
    <w:p w:rsidR="006544F8" w:rsidRDefault="006544F8" w:rsidP="00157D58">
      <w:pPr>
        <w:pStyle w:val="2"/>
        <w:jc w:val="center"/>
        <w:rPr>
          <w:rStyle w:val="a4"/>
          <w:b/>
          <w:bCs/>
          <w:szCs w:val="20"/>
          <w:bdr w:val="none" w:sz="0" w:space="0" w:color="auto" w:frame="1"/>
        </w:rPr>
      </w:pPr>
    </w:p>
    <w:p w:rsidR="006544F8" w:rsidRDefault="006544F8" w:rsidP="006544F8">
      <w:pPr>
        <w:pStyle w:val="2"/>
        <w:rPr>
          <w:rStyle w:val="a4"/>
          <w:b/>
          <w:bCs/>
          <w:szCs w:val="20"/>
          <w:bdr w:val="none" w:sz="0" w:space="0" w:color="auto" w:frame="1"/>
        </w:rPr>
      </w:pPr>
    </w:p>
    <w:p w:rsidR="00157D58" w:rsidRPr="005547E6" w:rsidRDefault="00157D58" w:rsidP="005547E6">
      <w:pPr>
        <w:pStyle w:val="2"/>
        <w:jc w:val="center"/>
        <w:rPr>
          <w:rStyle w:val="a4"/>
          <w:b/>
          <w:bCs/>
          <w:szCs w:val="20"/>
          <w:bdr w:val="none" w:sz="0" w:space="0" w:color="auto" w:frame="1"/>
        </w:rPr>
      </w:pPr>
      <w:bookmarkStart w:id="3" w:name="_Toc141309867"/>
      <w:r w:rsidRPr="005547E6">
        <w:rPr>
          <w:rStyle w:val="a4"/>
          <w:b/>
          <w:bCs/>
          <w:szCs w:val="20"/>
          <w:bdr w:val="none" w:sz="0" w:space="0" w:color="auto" w:frame="1"/>
        </w:rPr>
        <w:lastRenderedPageBreak/>
        <w:t>Гистопатологические признаки</w:t>
      </w:r>
      <w:bookmarkEnd w:id="3"/>
    </w:p>
    <w:p w:rsidR="00157D58" w:rsidRPr="005547E6" w:rsidRDefault="00157D58" w:rsidP="005547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Патологические признаки ЛКГ отмечаются при любой форме заболевания. Общим элементом различных поражений является типичная «клетка ЛКГ», хорошо различимая и отличающаяся от неспецифических элементов инфильтрата размером и формой. Эта клетка в размере в 4–5 раз превосходит мелкие лимфоциты, имеет неправильное и пузырчатое ядро, часто почковидное, и слегка эозинофильную цитоплазму. Гистологические признаки, наблюдаемые при ЛКГ, делятся на три типа: пролиферативные, гранулематозные и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ксантоматозные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ранних папулах наблюдается пролиферативная реакция. Она состоит из обширной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эпидермотропной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лихеноидной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инфильтрации клетками ЛКГ в верхнем слое дермы. Эпидермис в скором времени сдавливается, истончается и может даже разрушаться. Гранулематозная реакция включает присутствие в инфильтрате многоядерных гистиоцитов, различного количества эозинофилов, а также нейтрофилов, лимфоцитов и плазматических клеток. Этот тип реакции наблюдается при хроническом течении заболевания. </w:t>
      </w:r>
    </w:p>
    <w:p w:rsidR="006544F8" w:rsidRPr="005547E6" w:rsidRDefault="006544F8" w:rsidP="005547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Клетки ЛКГ имеют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иммунофенотип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нормальных клеток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Лангерганса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экспрессируя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высокие уровни молекул большого комплекса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гистосовместимости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ІІ, комплекса CD1, CD4, молекул CD207 и белка S100. Электронная микроскопия показала, что примерно 50% гистиоцитов ЛКГ содержат гранулы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Лангерганса</w:t>
      </w:r>
      <w:proofErr w:type="spellEnd"/>
    </w:p>
    <w:p w:rsidR="00157D58" w:rsidRPr="005547E6" w:rsidRDefault="00157D58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4F8" w:rsidRPr="005547E6" w:rsidRDefault="006544F8" w:rsidP="002A37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4F8" w:rsidRDefault="006544F8" w:rsidP="002A3724"/>
    <w:p w:rsidR="006544F8" w:rsidRDefault="006544F8" w:rsidP="002A3724"/>
    <w:p w:rsidR="006544F8" w:rsidRDefault="006544F8" w:rsidP="002A3724"/>
    <w:p w:rsidR="006544F8" w:rsidRDefault="006544F8" w:rsidP="002A3724"/>
    <w:p w:rsidR="006544F8" w:rsidRDefault="006544F8" w:rsidP="002A3724"/>
    <w:p w:rsidR="006544F8" w:rsidRDefault="006544F8" w:rsidP="002A3724"/>
    <w:p w:rsidR="006544F8" w:rsidRDefault="006544F8" w:rsidP="002A3724"/>
    <w:p w:rsidR="006544F8" w:rsidRDefault="006544F8" w:rsidP="002A3724"/>
    <w:p w:rsidR="006544F8" w:rsidRDefault="006544F8" w:rsidP="002A3724"/>
    <w:p w:rsidR="006544F8" w:rsidRDefault="006544F8" w:rsidP="002A3724"/>
    <w:p w:rsidR="006544F8" w:rsidRDefault="006544F8" w:rsidP="006544F8">
      <w:pPr>
        <w:pStyle w:val="2"/>
        <w:jc w:val="center"/>
      </w:pPr>
      <w:bookmarkStart w:id="4" w:name="_Toc141309868"/>
      <w:r>
        <w:lastRenderedPageBreak/>
        <w:t>Диагностика</w:t>
      </w:r>
      <w:bookmarkEnd w:id="4"/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сборе анамнеза необходимо обратить внимание на следующие элементы: лихорадку, боли, раздражительность, задержку физического развития, пониженный аппетит, диарею, полидипсию, полиурию, рецидивирующий отит, кожную сыпь, активность, изменения поведения.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 необходимо обратить внимание на следующие элементы: температуру тела, рост, вес, окружность головы, оценку полового развития, сыпь на коже головы и туловища, геморрагические элементы на коже, активные кровотечения, желтушность, бледность, отделяемое наружного слухового прохода, аномалии строения орбиты, изменения на твердом нёбе, аномалии десен, аномалии роста зубов,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лимфаденопатию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наличие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мягкотканных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образований, одышку,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тахипноэ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вспомогательной мускулатуры в акте дыхания, размеры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печени, селезенки, периферические отеки, неврологическую симптоматику (парезы/параличи черепных нервов, атаксия), изменения на глазном дне (отек диска зрительного нерва).</w:t>
      </w:r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обязательный объем обследования:</w:t>
      </w:r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клинический анализ крови: гемоглобин, гематокрит, лейкоциты, лейкоцитарная формула, тромбоциты; </w:t>
      </w:r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биохимический анализ крови: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ферритин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сыворотки, железо сыворотки,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трансферрин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АЛТ, ACT, билирубин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обгций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/фракции, щелочная </w:t>
      </w:r>
      <w:proofErr w:type="spellStart"/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фос-фатаза</w:t>
      </w:r>
      <w:proofErr w:type="spellEnd"/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гамма-глутамилтранспептидаза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общий белок, альбумин,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креа-тинин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мочевина, электролиты; </w:t>
      </w:r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коагулограмма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фибриноген, АЧТВ,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протромбиновый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индекс; </w:t>
      </w:r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рентгенография грудной клетки: прямая и боковая проекция; </w:t>
      </w:r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КТ грудной клетки; </w:t>
      </w:r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УЗИ брюшной полости; </w:t>
      </w:r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обзорная рентгенография скелета; </w:t>
      </w:r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общий анализ мочи, проба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Зимницкого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гистологическое и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иммуногистохимическое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биопсийного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материала; </w:t>
      </w:r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иммуногистохимическое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с окраской на CD 1а и СБ207(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лангерин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544F8" w:rsidRDefault="006544F8" w:rsidP="006544F8">
      <w:pPr>
        <w:pStyle w:val="2"/>
        <w:jc w:val="center"/>
      </w:pPr>
      <w:bookmarkStart w:id="5" w:name="_Toc141309869"/>
      <w:r>
        <w:lastRenderedPageBreak/>
        <w:t>Группы риска</w:t>
      </w:r>
      <w:bookmarkEnd w:id="5"/>
    </w:p>
    <w:p w:rsidR="00BC7840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низкого риска: пациенты с локальным поражением одного органа/системы. Исключение: пациенты с локальным поражением, угрожающим функции органа (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интракраниальный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сдавление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спинного мозга). </w:t>
      </w:r>
    </w:p>
    <w:p w:rsidR="00BC7840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промежуточного риска: пациенты с поражением нескольких органов/систем без вовлечения органов риска. Пациенты с локальным поражением, угрожающим функции органа (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интракраниальное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объемное образован</w:t>
      </w:r>
      <w:r w:rsidR="00BC7840"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ие, </w:t>
      </w:r>
      <w:proofErr w:type="spellStart"/>
      <w:r w:rsidR="00BC7840"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сдавление</w:t>
      </w:r>
      <w:proofErr w:type="spellEnd"/>
      <w:r w:rsidR="00BC7840"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спинного мозга). </w:t>
      </w: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Пациенты с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литическими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очагами основания черепа, височной кости, основной кости, сосцевидного отростка, орбиты (указанная локализация поражения ассоциирована с высоким риском реактивации заболевания на территории ЦНС). </w:t>
      </w:r>
    </w:p>
    <w:p w:rsidR="006544F8" w:rsidRPr="00A57265" w:rsidRDefault="006544F8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высокого риска: пациенты с поражением нескольких органов/ систем с вовлечением органов риска</w:t>
      </w:r>
      <w:r w:rsidR="00BC7840"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840" w:rsidRPr="00A57265" w:rsidRDefault="00BC7840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840" w:rsidRPr="00A57265" w:rsidRDefault="00BC7840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840" w:rsidRPr="00A57265" w:rsidRDefault="00BC7840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840" w:rsidRPr="00A57265" w:rsidRDefault="00BC7840" w:rsidP="00654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840" w:rsidRDefault="00BC7840" w:rsidP="006544F8"/>
    <w:p w:rsidR="00BC7840" w:rsidRDefault="00BC7840" w:rsidP="006544F8"/>
    <w:p w:rsidR="00BC7840" w:rsidRDefault="00BC7840" w:rsidP="006544F8"/>
    <w:p w:rsidR="00BC7840" w:rsidRDefault="00BC7840" w:rsidP="006544F8"/>
    <w:p w:rsidR="00BC7840" w:rsidRDefault="00BC7840" w:rsidP="006544F8"/>
    <w:p w:rsidR="00BC7840" w:rsidRDefault="00BC7840" w:rsidP="006544F8"/>
    <w:p w:rsidR="00BC7840" w:rsidRDefault="00BC7840" w:rsidP="006544F8"/>
    <w:p w:rsidR="00BC7840" w:rsidRDefault="00BC7840" w:rsidP="006544F8"/>
    <w:p w:rsidR="00BC7840" w:rsidRDefault="00BC7840" w:rsidP="006544F8"/>
    <w:p w:rsidR="00BC7840" w:rsidRDefault="00BC7840" w:rsidP="006544F8"/>
    <w:p w:rsidR="00BC7840" w:rsidRDefault="00BC7840" w:rsidP="006544F8"/>
    <w:p w:rsidR="00BC7840" w:rsidRDefault="00BC7840" w:rsidP="006544F8"/>
    <w:p w:rsidR="00BC7840" w:rsidRDefault="00BC7840" w:rsidP="00BC7840">
      <w:pPr>
        <w:pStyle w:val="2"/>
        <w:jc w:val="center"/>
      </w:pPr>
      <w:bookmarkStart w:id="6" w:name="_Toc141309870"/>
      <w:r>
        <w:lastRenderedPageBreak/>
        <w:t>Основные препараты, используемые в терапии</w:t>
      </w:r>
      <w:bookmarkEnd w:id="6"/>
    </w:p>
    <w:p w:rsidR="00BC7840" w:rsidRPr="00A57265" w:rsidRDefault="00BC7840" w:rsidP="00BC78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Винбластин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Противоопухолевое средство.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Винбластин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алкалоидом, выделенным из растения рода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Vinca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(барвинок). Блокирует митотическое деление клеток в метафазе клеточного цикла. Действие оказывает, связываясь с микротрубочками посредством торможения образования митотических веретен. В опухолевых клетках селективно угнетает синтез ДНК и РНК посредством торможения ДНК-зависимой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РНК-полимеразы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3EE3" w:rsidRPr="00A57265" w:rsidRDefault="00BC7840" w:rsidP="00153EE3">
      <w:pPr>
        <w:pStyle w:val="a5"/>
        <w:spacing w:before="63" w:beforeAutospacing="0" w:after="63" w:afterAutospacing="0"/>
        <w:rPr>
          <w:color w:val="000000"/>
          <w:sz w:val="28"/>
          <w:szCs w:val="28"/>
        </w:rPr>
      </w:pPr>
      <w:proofErr w:type="spellStart"/>
      <w:r w:rsidRPr="009C261B">
        <w:rPr>
          <w:b/>
          <w:color w:val="000000"/>
          <w:sz w:val="28"/>
          <w:szCs w:val="28"/>
        </w:rPr>
        <w:t>Преднизолон</w:t>
      </w:r>
      <w:proofErr w:type="spellEnd"/>
      <w:r w:rsidRPr="00A57265">
        <w:rPr>
          <w:color w:val="000000"/>
          <w:sz w:val="28"/>
          <w:szCs w:val="28"/>
        </w:rPr>
        <w:t xml:space="preserve">. </w:t>
      </w:r>
      <w:r w:rsidR="00153EE3" w:rsidRPr="00A57265">
        <w:rPr>
          <w:color w:val="000000"/>
          <w:sz w:val="28"/>
          <w:szCs w:val="28"/>
        </w:rPr>
        <w:t xml:space="preserve">Синтетический глюкокортикоидный препарат, </w:t>
      </w:r>
      <w:proofErr w:type="spellStart"/>
      <w:r w:rsidR="00153EE3" w:rsidRPr="00A57265">
        <w:rPr>
          <w:color w:val="000000"/>
          <w:sz w:val="28"/>
          <w:szCs w:val="28"/>
        </w:rPr>
        <w:t>дегидрированный</w:t>
      </w:r>
      <w:proofErr w:type="spellEnd"/>
      <w:r w:rsidR="00153EE3" w:rsidRPr="00A57265">
        <w:rPr>
          <w:color w:val="000000"/>
          <w:sz w:val="28"/>
          <w:szCs w:val="28"/>
        </w:rPr>
        <w:t xml:space="preserve"> аналог гидрокортизона. Оказывает противовоспалительное, противоаллергическое, иммунодепрессивное, противошоковое действие, повышает чувствительность </w:t>
      </w:r>
      <w:proofErr w:type="gramStart"/>
      <w:r w:rsidR="00153EE3" w:rsidRPr="00A57265">
        <w:rPr>
          <w:color w:val="000000"/>
          <w:sz w:val="28"/>
          <w:szCs w:val="28"/>
        </w:rPr>
        <w:t>β-</w:t>
      </w:r>
      <w:proofErr w:type="gramEnd"/>
      <w:r w:rsidR="00153EE3" w:rsidRPr="00A57265">
        <w:rPr>
          <w:color w:val="000000"/>
          <w:sz w:val="28"/>
          <w:szCs w:val="28"/>
        </w:rPr>
        <w:t>адренорецепторов к эндогенным катехоламинам.</w:t>
      </w:r>
    </w:p>
    <w:p w:rsidR="00153EE3" w:rsidRPr="00A57265" w:rsidRDefault="00153EE3" w:rsidP="00153EE3">
      <w:pPr>
        <w:pStyle w:val="a5"/>
        <w:spacing w:before="63" w:beforeAutospacing="0" w:after="63" w:afterAutospacing="0"/>
        <w:rPr>
          <w:color w:val="000000"/>
          <w:sz w:val="28"/>
          <w:szCs w:val="28"/>
        </w:rPr>
      </w:pPr>
      <w:r w:rsidRPr="00A57265">
        <w:rPr>
          <w:color w:val="000000"/>
          <w:sz w:val="28"/>
          <w:szCs w:val="28"/>
        </w:rPr>
        <w:t xml:space="preserve">Взаимодействует со специфическими цитоплазматическими рецепторами (рецепторы </w:t>
      </w:r>
      <w:proofErr w:type="spellStart"/>
      <w:r w:rsidRPr="00A57265">
        <w:rPr>
          <w:color w:val="000000"/>
          <w:sz w:val="28"/>
          <w:szCs w:val="28"/>
        </w:rPr>
        <w:t>глюкокортикоидов</w:t>
      </w:r>
      <w:proofErr w:type="spellEnd"/>
      <w:r w:rsidRPr="00A57265">
        <w:rPr>
          <w:color w:val="000000"/>
          <w:sz w:val="28"/>
          <w:szCs w:val="28"/>
        </w:rPr>
        <w:t xml:space="preserve"> (ГКС) есть во всех тканях, особенно </w:t>
      </w:r>
      <w:proofErr w:type="gramStart"/>
      <w:r w:rsidRPr="00A57265">
        <w:rPr>
          <w:color w:val="000000"/>
          <w:sz w:val="28"/>
          <w:szCs w:val="28"/>
        </w:rPr>
        <w:t>их</w:t>
      </w:r>
      <w:proofErr w:type="gramEnd"/>
      <w:r w:rsidRPr="00A57265">
        <w:rPr>
          <w:color w:val="000000"/>
          <w:sz w:val="28"/>
          <w:szCs w:val="28"/>
        </w:rPr>
        <w:t xml:space="preserve"> много в печени) с образованием комплекса, индуцирующего образование белков (в т.ч. ферментов, регулирующих в клетках жизненно важные процессы).</w:t>
      </w:r>
    </w:p>
    <w:p w:rsidR="00153EE3" w:rsidRPr="00A57265" w:rsidRDefault="00153EE3" w:rsidP="00153EE3">
      <w:pPr>
        <w:pStyle w:val="a5"/>
        <w:spacing w:before="63" w:beforeAutospacing="0" w:after="63" w:afterAutospacing="0"/>
        <w:rPr>
          <w:color w:val="000000"/>
          <w:sz w:val="28"/>
          <w:szCs w:val="28"/>
        </w:rPr>
      </w:pPr>
      <w:r w:rsidRPr="00A57265">
        <w:rPr>
          <w:color w:val="000000"/>
          <w:sz w:val="28"/>
          <w:szCs w:val="28"/>
        </w:rPr>
        <w:t xml:space="preserve">Противовоспалительное действие связано с угнетением высвобождения эозинофилами и тучными клетками медиаторов воспаления; </w:t>
      </w:r>
      <w:proofErr w:type="spellStart"/>
      <w:r w:rsidRPr="00A57265">
        <w:rPr>
          <w:color w:val="000000"/>
          <w:sz w:val="28"/>
          <w:szCs w:val="28"/>
        </w:rPr>
        <w:t>индуцированием</w:t>
      </w:r>
      <w:proofErr w:type="spellEnd"/>
      <w:r w:rsidRPr="00A57265">
        <w:rPr>
          <w:color w:val="000000"/>
          <w:sz w:val="28"/>
          <w:szCs w:val="28"/>
        </w:rPr>
        <w:t xml:space="preserve"> образования </w:t>
      </w:r>
      <w:proofErr w:type="spellStart"/>
      <w:r w:rsidRPr="00A57265">
        <w:rPr>
          <w:color w:val="000000"/>
          <w:sz w:val="28"/>
          <w:szCs w:val="28"/>
        </w:rPr>
        <w:t>липокортинов</w:t>
      </w:r>
      <w:proofErr w:type="spellEnd"/>
      <w:r w:rsidRPr="00A57265">
        <w:rPr>
          <w:color w:val="000000"/>
          <w:sz w:val="28"/>
          <w:szCs w:val="28"/>
        </w:rPr>
        <w:t xml:space="preserve"> и уменьшения количества тучных клеток, вырабатывающих </w:t>
      </w:r>
      <w:proofErr w:type="spellStart"/>
      <w:r w:rsidRPr="00A57265">
        <w:rPr>
          <w:color w:val="000000"/>
          <w:sz w:val="28"/>
          <w:szCs w:val="28"/>
        </w:rPr>
        <w:t>гиалуроновую</w:t>
      </w:r>
      <w:proofErr w:type="spellEnd"/>
      <w:r w:rsidRPr="00A57265">
        <w:rPr>
          <w:color w:val="000000"/>
          <w:sz w:val="28"/>
          <w:szCs w:val="28"/>
        </w:rPr>
        <w:t xml:space="preserve"> кислоту; с уменьшением проницаемости капилляров; стабилизацией клеточных мембран (особенно </w:t>
      </w:r>
      <w:proofErr w:type="spellStart"/>
      <w:r w:rsidRPr="00A57265">
        <w:rPr>
          <w:color w:val="000000"/>
          <w:sz w:val="28"/>
          <w:szCs w:val="28"/>
        </w:rPr>
        <w:t>лизосомальных</w:t>
      </w:r>
      <w:proofErr w:type="spellEnd"/>
      <w:r w:rsidRPr="00A57265">
        <w:rPr>
          <w:color w:val="000000"/>
          <w:sz w:val="28"/>
          <w:szCs w:val="28"/>
        </w:rPr>
        <w:t>) и мембран органелл. Действует на все этапы воспалительного процесса: ингибирует синтез простагландинов (</w:t>
      </w:r>
      <w:proofErr w:type="spellStart"/>
      <w:r w:rsidRPr="00A57265">
        <w:rPr>
          <w:color w:val="000000"/>
          <w:sz w:val="28"/>
          <w:szCs w:val="28"/>
        </w:rPr>
        <w:t>Pg</w:t>
      </w:r>
      <w:proofErr w:type="spellEnd"/>
      <w:r w:rsidRPr="00A57265">
        <w:rPr>
          <w:color w:val="000000"/>
          <w:sz w:val="28"/>
          <w:szCs w:val="28"/>
        </w:rPr>
        <w:t xml:space="preserve">) на уровне </w:t>
      </w:r>
      <w:proofErr w:type="spellStart"/>
      <w:r w:rsidRPr="00A57265">
        <w:rPr>
          <w:color w:val="000000"/>
          <w:sz w:val="28"/>
          <w:szCs w:val="28"/>
        </w:rPr>
        <w:t>арахидоновой</w:t>
      </w:r>
      <w:proofErr w:type="spellEnd"/>
      <w:r w:rsidRPr="00A57265">
        <w:rPr>
          <w:color w:val="000000"/>
          <w:sz w:val="28"/>
          <w:szCs w:val="28"/>
        </w:rPr>
        <w:t xml:space="preserve"> кислоты (</w:t>
      </w:r>
      <w:proofErr w:type="spellStart"/>
      <w:r w:rsidRPr="00A57265">
        <w:rPr>
          <w:color w:val="000000"/>
          <w:sz w:val="28"/>
          <w:szCs w:val="28"/>
        </w:rPr>
        <w:t>липокортин</w:t>
      </w:r>
      <w:proofErr w:type="spellEnd"/>
      <w:r w:rsidRPr="00A57265">
        <w:rPr>
          <w:color w:val="000000"/>
          <w:sz w:val="28"/>
          <w:szCs w:val="28"/>
        </w:rPr>
        <w:t xml:space="preserve"> угнетает </w:t>
      </w:r>
      <w:proofErr w:type="spellStart"/>
      <w:r w:rsidRPr="00A57265">
        <w:rPr>
          <w:color w:val="000000"/>
          <w:sz w:val="28"/>
          <w:szCs w:val="28"/>
        </w:rPr>
        <w:t>фосфолипазу</w:t>
      </w:r>
      <w:proofErr w:type="spellEnd"/>
      <w:r w:rsidRPr="00A57265">
        <w:rPr>
          <w:color w:val="000000"/>
          <w:sz w:val="28"/>
          <w:szCs w:val="28"/>
        </w:rPr>
        <w:t xml:space="preserve"> А</w:t>
      </w:r>
      <w:proofErr w:type="gramStart"/>
      <w:r w:rsidRPr="00A57265">
        <w:rPr>
          <w:color w:val="000000"/>
          <w:sz w:val="28"/>
          <w:szCs w:val="28"/>
        </w:rPr>
        <w:t>2</w:t>
      </w:r>
      <w:proofErr w:type="gramEnd"/>
      <w:r w:rsidRPr="00A57265">
        <w:rPr>
          <w:color w:val="000000"/>
          <w:sz w:val="28"/>
          <w:szCs w:val="28"/>
        </w:rPr>
        <w:t xml:space="preserve">, подавляет высвобождение </w:t>
      </w:r>
      <w:proofErr w:type="spellStart"/>
      <w:r w:rsidRPr="00A57265">
        <w:rPr>
          <w:color w:val="000000"/>
          <w:sz w:val="28"/>
          <w:szCs w:val="28"/>
        </w:rPr>
        <w:t>арахидоновой</w:t>
      </w:r>
      <w:proofErr w:type="spellEnd"/>
      <w:r w:rsidRPr="00A57265">
        <w:rPr>
          <w:color w:val="000000"/>
          <w:sz w:val="28"/>
          <w:szCs w:val="28"/>
        </w:rPr>
        <w:t xml:space="preserve"> кислоты и ингибирует биосинтез </w:t>
      </w:r>
      <w:proofErr w:type="spellStart"/>
      <w:r w:rsidRPr="00A57265">
        <w:rPr>
          <w:color w:val="000000"/>
          <w:sz w:val="28"/>
          <w:szCs w:val="28"/>
        </w:rPr>
        <w:t>эндоперекисей</w:t>
      </w:r>
      <w:proofErr w:type="spellEnd"/>
      <w:r w:rsidRPr="00A57265">
        <w:rPr>
          <w:color w:val="000000"/>
          <w:sz w:val="28"/>
          <w:szCs w:val="28"/>
        </w:rPr>
        <w:t xml:space="preserve">, </w:t>
      </w:r>
      <w:proofErr w:type="spellStart"/>
      <w:r w:rsidRPr="00A57265">
        <w:rPr>
          <w:color w:val="000000"/>
          <w:sz w:val="28"/>
          <w:szCs w:val="28"/>
        </w:rPr>
        <w:t>лейкотриенов</w:t>
      </w:r>
      <w:proofErr w:type="spellEnd"/>
      <w:r w:rsidRPr="00A57265">
        <w:rPr>
          <w:color w:val="000000"/>
          <w:sz w:val="28"/>
          <w:szCs w:val="28"/>
        </w:rPr>
        <w:t>, способствующих процессам воспаления, аллергии и другое), синтез "</w:t>
      </w:r>
      <w:proofErr w:type="spellStart"/>
      <w:r w:rsidRPr="00A57265">
        <w:rPr>
          <w:color w:val="000000"/>
          <w:sz w:val="28"/>
          <w:szCs w:val="28"/>
        </w:rPr>
        <w:t>провоспалительных</w:t>
      </w:r>
      <w:proofErr w:type="spellEnd"/>
      <w:r w:rsidRPr="00A57265">
        <w:rPr>
          <w:color w:val="000000"/>
          <w:sz w:val="28"/>
          <w:szCs w:val="28"/>
        </w:rPr>
        <w:t xml:space="preserve"> </w:t>
      </w:r>
      <w:proofErr w:type="spellStart"/>
      <w:r w:rsidRPr="00A57265">
        <w:rPr>
          <w:color w:val="000000"/>
          <w:sz w:val="28"/>
          <w:szCs w:val="28"/>
        </w:rPr>
        <w:t>цитокинов</w:t>
      </w:r>
      <w:proofErr w:type="spellEnd"/>
      <w:r w:rsidRPr="00A57265">
        <w:rPr>
          <w:color w:val="000000"/>
          <w:sz w:val="28"/>
          <w:szCs w:val="28"/>
        </w:rPr>
        <w:t xml:space="preserve">" (в т.ч. </w:t>
      </w:r>
      <w:proofErr w:type="spellStart"/>
      <w:r w:rsidRPr="00A57265">
        <w:rPr>
          <w:color w:val="000000"/>
          <w:sz w:val="28"/>
          <w:szCs w:val="28"/>
        </w:rPr>
        <w:t>интерлейкин</w:t>
      </w:r>
      <w:proofErr w:type="spellEnd"/>
      <w:r w:rsidRPr="00A57265">
        <w:rPr>
          <w:color w:val="000000"/>
          <w:sz w:val="28"/>
          <w:szCs w:val="28"/>
        </w:rPr>
        <w:t xml:space="preserve"> 1, ФНОα); повышает устойчивость клеточной мембраны к действию различных повреждающих факторов. Иммунодепрессивное действие обусловлено вызываемой инволюцией лимфоидной ткани, угнетением пролиферации лимфоцитов (особенно Т-лимфоцитов), подавлением миграции В-клеток и взаимодействия </w:t>
      </w:r>
      <w:proofErr w:type="gramStart"/>
      <w:r w:rsidRPr="00A57265">
        <w:rPr>
          <w:color w:val="000000"/>
          <w:sz w:val="28"/>
          <w:szCs w:val="28"/>
        </w:rPr>
        <w:t>Т-</w:t>
      </w:r>
      <w:proofErr w:type="gramEnd"/>
      <w:r w:rsidRPr="00A57265">
        <w:rPr>
          <w:color w:val="000000"/>
          <w:sz w:val="28"/>
          <w:szCs w:val="28"/>
        </w:rPr>
        <w:t xml:space="preserve"> и В-лимфоцитов, торможением высвобождения </w:t>
      </w:r>
      <w:proofErr w:type="spellStart"/>
      <w:r w:rsidRPr="00A57265">
        <w:rPr>
          <w:color w:val="000000"/>
          <w:sz w:val="28"/>
          <w:szCs w:val="28"/>
        </w:rPr>
        <w:t>цитокинов</w:t>
      </w:r>
      <w:proofErr w:type="spellEnd"/>
      <w:r w:rsidRPr="00A57265">
        <w:rPr>
          <w:color w:val="000000"/>
          <w:sz w:val="28"/>
          <w:szCs w:val="28"/>
        </w:rPr>
        <w:t xml:space="preserve"> (интерлейкина-1, 2; </w:t>
      </w:r>
      <w:proofErr w:type="spellStart"/>
      <w:r w:rsidRPr="00A57265">
        <w:rPr>
          <w:color w:val="000000"/>
          <w:sz w:val="28"/>
          <w:szCs w:val="28"/>
        </w:rPr>
        <w:t>гамма-интерферона</w:t>
      </w:r>
      <w:proofErr w:type="spellEnd"/>
      <w:r w:rsidRPr="00A57265">
        <w:rPr>
          <w:color w:val="000000"/>
          <w:sz w:val="28"/>
          <w:szCs w:val="28"/>
        </w:rPr>
        <w:t>) из лимфоцитов и макрофагов и снижением образования антител.</w:t>
      </w:r>
    </w:p>
    <w:p w:rsidR="00153EE3" w:rsidRPr="00A57265" w:rsidRDefault="00153EE3" w:rsidP="00153EE3">
      <w:pPr>
        <w:pStyle w:val="a5"/>
        <w:spacing w:before="63" w:beforeAutospacing="0" w:after="63" w:afterAutospacing="0"/>
        <w:rPr>
          <w:color w:val="000000"/>
          <w:sz w:val="28"/>
          <w:szCs w:val="28"/>
        </w:rPr>
      </w:pPr>
    </w:p>
    <w:p w:rsidR="00BC7840" w:rsidRPr="00A57265" w:rsidRDefault="00153EE3" w:rsidP="00BC78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6-меркаптопурин</w:t>
      </w: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Оказывает противоопухолевое и иммунодепрессивное действие. Является конкурентным антагонистом пуриновых оснований. Конкурирует с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гипоксантином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гуанином за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гипоксантин-гуанин-фосфорибозилтрансферазу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Трансформируется в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меркаптопуринфосфорибозил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влиянием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тиопуринметилтрансферазы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метилмеркаптопурин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Меркаптопуринфосфорибозил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метилмеркаптопурин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угнетают глутамин-5-фосфорибозилпирофосфатамидотрансферазу (первый фермент в синтезе пуриновых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рибонуклеотидов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в результате нарушается митотический цикл (S-фаза), особенно в быстро пролиферирующих клетках костного мозга и опухолей, тормозится рост злокачественных новообразований и проявляется цитотоксический эффект.</w:t>
      </w:r>
    </w:p>
    <w:p w:rsidR="00BC7840" w:rsidRPr="00A57265" w:rsidRDefault="00BC7840" w:rsidP="00BC78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EE3" w:rsidRDefault="00153EE3" w:rsidP="00BC7840">
      <w:pPr>
        <w:rPr>
          <w:b/>
        </w:rPr>
      </w:pPr>
    </w:p>
    <w:p w:rsidR="00153EE3" w:rsidRDefault="00153EE3" w:rsidP="00BC7840">
      <w:pPr>
        <w:rPr>
          <w:b/>
        </w:rPr>
      </w:pPr>
    </w:p>
    <w:p w:rsidR="00153EE3" w:rsidRDefault="00153EE3" w:rsidP="00BC7840">
      <w:pPr>
        <w:rPr>
          <w:b/>
        </w:rPr>
      </w:pPr>
    </w:p>
    <w:p w:rsidR="00153EE3" w:rsidRDefault="00153EE3" w:rsidP="00BC7840">
      <w:pPr>
        <w:rPr>
          <w:b/>
        </w:rPr>
      </w:pPr>
    </w:p>
    <w:p w:rsidR="00153EE3" w:rsidRDefault="00153EE3" w:rsidP="00BC7840">
      <w:pPr>
        <w:rPr>
          <w:b/>
        </w:rPr>
      </w:pPr>
    </w:p>
    <w:p w:rsidR="00153EE3" w:rsidRDefault="00153EE3" w:rsidP="00BC7840">
      <w:pPr>
        <w:rPr>
          <w:b/>
        </w:rPr>
      </w:pPr>
    </w:p>
    <w:p w:rsidR="00153EE3" w:rsidRDefault="00153EE3" w:rsidP="00BC7840">
      <w:pPr>
        <w:rPr>
          <w:b/>
        </w:rPr>
      </w:pPr>
    </w:p>
    <w:p w:rsidR="00153EE3" w:rsidRDefault="00153EE3" w:rsidP="00BC7840">
      <w:pPr>
        <w:rPr>
          <w:b/>
        </w:rPr>
      </w:pPr>
    </w:p>
    <w:p w:rsidR="00153EE3" w:rsidRDefault="00153EE3" w:rsidP="00BC7840">
      <w:pPr>
        <w:rPr>
          <w:b/>
        </w:rPr>
      </w:pPr>
    </w:p>
    <w:p w:rsidR="00153EE3" w:rsidRDefault="00153EE3" w:rsidP="00BC7840">
      <w:pPr>
        <w:rPr>
          <w:b/>
        </w:rPr>
      </w:pPr>
    </w:p>
    <w:p w:rsidR="00153EE3" w:rsidRDefault="00153EE3" w:rsidP="00BC7840">
      <w:pPr>
        <w:rPr>
          <w:b/>
        </w:rPr>
      </w:pPr>
    </w:p>
    <w:p w:rsidR="00153EE3" w:rsidRDefault="00153EE3" w:rsidP="00BC7840">
      <w:pPr>
        <w:rPr>
          <w:b/>
        </w:rPr>
      </w:pPr>
    </w:p>
    <w:p w:rsidR="00153EE3" w:rsidRDefault="00153EE3" w:rsidP="00BC7840">
      <w:pPr>
        <w:rPr>
          <w:b/>
        </w:rPr>
      </w:pPr>
    </w:p>
    <w:p w:rsidR="009C261B" w:rsidRDefault="009C261B" w:rsidP="00BC7840">
      <w:pPr>
        <w:rPr>
          <w:b/>
        </w:rPr>
      </w:pPr>
    </w:p>
    <w:p w:rsidR="009C261B" w:rsidRDefault="009C261B" w:rsidP="00BC7840">
      <w:pPr>
        <w:rPr>
          <w:b/>
        </w:rPr>
      </w:pPr>
    </w:p>
    <w:p w:rsidR="009C261B" w:rsidRDefault="009C261B" w:rsidP="00BC7840">
      <w:pPr>
        <w:rPr>
          <w:b/>
        </w:rPr>
      </w:pPr>
    </w:p>
    <w:p w:rsidR="009C261B" w:rsidRDefault="009C261B" w:rsidP="00BC7840">
      <w:pPr>
        <w:rPr>
          <w:b/>
        </w:rPr>
      </w:pPr>
    </w:p>
    <w:p w:rsidR="009C261B" w:rsidRDefault="009C261B" w:rsidP="00BC7840">
      <w:pPr>
        <w:rPr>
          <w:b/>
        </w:rPr>
      </w:pPr>
    </w:p>
    <w:p w:rsidR="009C261B" w:rsidRDefault="009C261B" w:rsidP="00BC7840">
      <w:pPr>
        <w:rPr>
          <w:b/>
        </w:rPr>
      </w:pPr>
    </w:p>
    <w:p w:rsidR="009C261B" w:rsidRDefault="009C261B" w:rsidP="00BC7840">
      <w:pPr>
        <w:rPr>
          <w:b/>
        </w:rPr>
      </w:pPr>
    </w:p>
    <w:p w:rsidR="009C261B" w:rsidRDefault="009C261B" w:rsidP="00BC7840">
      <w:pPr>
        <w:rPr>
          <w:b/>
        </w:rPr>
      </w:pPr>
    </w:p>
    <w:p w:rsidR="009C261B" w:rsidRDefault="009C261B" w:rsidP="00BC7840">
      <w:pPr>
        <w:rPr>
          <w:b/>
        </w:rPr>
      </w:pPr>
    </w:p>
    <w:p w:rsidR="00153EE3" w:rsidRDefault="00153EE3" w:rsidP="00153EE3">
      <w:pPr>
        <w:pStyle w:val="2"/>
        <w:jc w:val="center"/>
      </w:pPr>
      <w:bookmarkStart w:id="7" w:name="_Toc141309871"/>
      <w:r>
        <w:lastRenderedPageBreak/>
        <w:t>Терапия в соответствии с группами риска</w:t>
      </w:r>
      <w:bookmarkEnd w:id="7"/>
    </w:p>
    <w:p w:rsidR="00153EE3" w:rsidRPr="00A57265" w:rsidRDefault="00153EE3" w:rsidP="00153E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низкого риска</w:t>
      </w: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Локальный контроль достигается хирургическим иссечением объемного образования/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кюретажем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остеолитического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очага и введением кортикостероидов в очаг поражения. Для локального введения могут быть использованы любые инъекционные стероиды в дозе, эквивалентной 2 мг/кг массы тела по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преднизолону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невозможности полного удаления патологической ткани существуют две принципиальные опции: 1) дистанционная гамма-терапия на область образования в дозе 6—8 Гр; 2)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монотерапия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винбластином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преднизолоном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лечащего врача. </w:t>
      </w:r>
    </w:p>
    <w:p w:rsidR="00153EE3" w:rsidRPr="00A57265" w:rsidRDefault="00153EE3" w:rsidP="00153E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промежуточного риска</w:t>
      </w: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принципы: системная химиотерапия препаратами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винбла-стином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преднизолоном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Выделяют два этапа терапии: интенсивная фаза и поддерживающая терапия. Оценка ответа на терапию через 6,12, 24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завершении поддерживающей терапии. </w:t>
      </w:r>
    </w:p>
    <w:p w:rsidR="00153EE3" w:rsidRPr="00A57265" w:rsidRDefault="00153EE3" w:rsidP="00153E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Интенсивная фаза I.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Винбластин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дозе 6 мг/м внутривенно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струйно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6 введений с интервалом в одну неделю.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дозе 40 мг/м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Суточная доза разделена на 3 приема. Полная доза дается ежедневно в течение четырех недель с постепенной отменой за 2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достижении полного ответа на терапию через 6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поддерживающая терапия. При достижении частичного ответа на терапию через 6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интенсивная фаза II. </w:t>
      </w:r>
    </w:p>
    <w:p w:rsidR="00153EE3" w:rsidRPr="00A57265" w:rsidRDefault="00153EE3" w:rsidP="00153E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терапии идентичен интенсивной фазе I с модификацией режима введения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преднизолона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в дни 1—3 каждой недели. При отсутствии ответа/прогрессии заболевания через 6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интенсивная фаза II. План терапии идентичен интенсивной фазе I с модификацией режима введения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преднизолона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в дни 1—3 каждой недели. При достижении полного ответа на терапию через 12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поддерживающая терапия. При отсутствии полного ответа на терапию через 12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 переводится на терапию второй линии. При появлении клинических и лабораторных признаков поражения органов риска на любом этапе лечения пациент переводится на терапию второй линии. </w:t>
      </w:r>
    </w:p>
    <w:p w:rsidR="00153EE3" w:rsidRPr="00A57265" w:rsidRDefault="00153EE3" w:rsidP="00153E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Поддерживающая терапия.  Длительность поддерживающей терапии составляет 40—46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</w:t>
      </w:r>
      <w:proofErr w:type="spellStart"/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начала интенсивной фазы). Циклы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винбластин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интервалом в 21 день.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Винбластин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дозе 6 мг/м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внутривенно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струйно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Вводится 1 раз в первый день цикла терапии.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Преднизолон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дозе 40 мг/м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Суточная доза разделена на три приема. Вводится в дни 1—5 цикла терапии. </w:t>
      </w:r>
    </w:p>
    <w:p w:rsidR="00153EE3" w:rsidRPr="00A57265" w:rsidRDefault="00153EE3" w:rsidP="00153E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высокого риска</w:t>
      </w: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принципы: системная химиотерапия препаратами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винбла-стином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преднизолоном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6-меркаптопурином. Два этапа терапии: интенсивная фаза и поддерживающая терапия. Оценка ответа на терапию через 6, 12, 24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завершении поддерживающей терапии. При отсутствии ответа на терапию первой линии или прогрессии заболевания ранний перевод на терапию второй линии. </w:t>
      </w:r>
    </w:p>
    <w:p w:rsidR="00153EE3" w:rsidRPr="00A57265" w:rsidRDefault="00153EE3" w:rsidP="00153E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Интенсивная фаза I.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Винбластин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дозе 6 мг/м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внутривенно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струйно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6 введений с интервалом в одну неделю.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дозе 40 мг/м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Суточная доза  разделена на 3 приема. Полная доза дается ежедневно в течение четырех недель с постепенной отменой за 2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достижении полного ответа на терапию через 6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поддерживающая терапия. При достижении частичного ответа и разрешении органной дисфункции (нормализации показателей клинического и биохимического анализа крови) через 6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интенсивная фаза II. План терапии идентичен интенсивной фазе I с модификацией режима введения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преднизолона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в дни 1—3 каждой недели. При отсутствии частичного ответа, прогрессии заболевания и частичном ответе с сохранением дисфункции печени и/или костного мозга через 6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 переводится на терапию второй линии. При отсутствии полного ответа на терапию через 12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 переводится на терапию второй линии. </w:t>
      </w:r>
    </w:p>
    <w:p w:rsidR="00153EE3" w:rsidRPr="00A57265" w:rsidRDefault="00153EE3" w:rsidP="00153E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Поддерживающая терапия.  Длительность поддерживающей терапии составляет 40—46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</w:t>
      </w:r>
      <w:proofErr w:type="spellStart"/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начала интенсивной фазы). 6-Меркаптопурин ежедневно в дозе 50 мг/м2/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Циклы комбинированной терапии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винбластин+преднизолон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интервалом в 21 день.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Винбластин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дозе 6 мг/м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внутривенно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струйно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Вводится 1 раз в первый день цикла терапии.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дозе 40 мг/м</w:t>
      </w: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Суточная доза разделена на 3 приема. Вводится в дни 1—5 цикла терапии.</w:t>
      </w:r>
    </w:p>
    <w:p w:rsidR="00A57265" w:rsidRPr="009C261B" w:rsidRDefault="00153EE3" w:rsidP="00153E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Терапия второй линии</w:t>
      </w:r>
      <w:r w:rsidR="00A57265"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Общепринятых стандартов терапии второй линии не существует. Согласно данным литературы, наиболее эффективными методами терапии рефрактерных форм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гистиоцигоза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клеток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Лангерганса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1) комбинированная химиотерапия препаратами 2-хлордезоксиа-денозин и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цитарабина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аллогенная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трансплантация гемопоэтических стволовых клеток. При необходимости перевода пациента на терапию второй линии рекомендуется консультация и/или перевод пациента в федеральную клинику</w:t>
      </w:r>
      <w:r w:rsidR="00A57265"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265" w:rsidRDefault="00A57265" w:rsidP="00A57265">
      <w:pPr>
        <w:pStyle w:val="2"/>
        <w:jc w:val="center"/>
      </w:pPr>
      <w:bookmarkStart w:id="8" w:name="_Toc141309872"/>
      <w:r>
        <w:lastRenderedPageBreak/>
        <w:t>Критерии оценки ответа на терапию</w:t>
      </w:r>
      <w:bookmarkEnd w:id="8"/>
    </w:p>
    <w:p w:rsidR="00A57265" w:rsidRPr="00A57265" w:rsidRDefault="00A57265" w:rsidP="00A572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Полный ответ</w:t>
      </w: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Разрешение всех обратимых клинических и лабораторных проявлений заболевания. К необратимым изменениям относятся несахарный диабет, фиброз легких,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склерозирующий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холангит, цирроз печени. Сохранение инициальных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остеолитических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очагов на рентгенограммах при полной регрессии ассоциированного объемного образования не противоречит оценке ответа как полного. </w:t>
      </w:r>
    </w:p>
    <w:p w:rsidR="00A57265" w:rsidRPr="009C261B" w:rsidRDefault="009C261B" w:rsidP="00A5726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Частичный ответ. </w:t>
      </w:r>
      <w:r w:rsidR="00A57265"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улучшением: сохранение клинических и/или лабораторных проявлений заболевания при наличии положительной динамики показателей и отсутствии новых очагов поражения. </w:t>
      </w:r>
    </w:p>
    <w:p w:rsidR="00A57265" w:rsidRPr="00A57265" w:rsidRDefault="00A57265" w:rsidP="00A572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Смешанный</w:t>
      </w:r>
      <w:proofErr w:type="gram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регрессия части клинических и/или лабораторных проявлений заболевания при появлении новых очагов поражения. </w:t>
      </w:r>
    </w:p>
    <w:p w:rsidR="00A57265" w:rsidRPr="00A57265" w:rsidRDefault="00A57265" w:rsidP="00A572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Прогрессия заболевания</w:t>
      </w: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Отрицательная динамика со стороны клинических и/или лабораторных проявлений заболевания и/или появление новых очагов поражения. </w:t>
      </w:r>
    </w:p>
    <w:p w:rsidR="00A57265" w:rsidRPr="00A57265" w:rsidRDefault="00A57265" w:rsidP="00A572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Поражение органов риска</w:t>
      </w: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Лабораторные и/или инструментальные признаки нарушения функции печени, костного мозга, легких. При оценке поражения органов риска во время терапии необходимо четко дифференцировать изменения, ассоциированные с заболеванием от побочных эффектов химиотерапии и сопроводительной терапии.</w:t>
      </w:r>
    </w:p>
    <w:p w:rsidR="00A57265" w:rsidRPr="00A57265" w:rsidRDefault="00A57265" w:rsidP="00A572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265" w:rsidRPr="00A57265" w:rsidRDefault="00A57265" w:rsidP="00A572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265" w:rsidRPr="00A57265" w:rsidRDefault="00A57265" w:rsidP="00A572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265" w:rsidRDefault="00A57265" w:rsidP="00A57265"/>
    <w:p w:rsidR="00A57265" w:rsidRDefault="00A57265" w:rsidP="00A57265"/>
    <w:p w:rsidR="00A57265" w:rsidRDefault="00A57265" w:rsidP="00A57265"/>
    <w:p w:rsidR="00A57265" w:rsidRDefault="00A57265" w:rsidP="00A57265"/>
    <w:p w:rsidR="00A57265" w:rsidRDefault="00A57265" w:rsidP="00A57265"/>
    <w:p w:rsidR="00A57265" w:rsidRDefault="00A57265" w:rsidP="00A57265"/>
    <w:p w:rsidR="00A57265" w:rsidRDefault="00A57265" w:rsidP="00A57265"/>
    <w:p w:rsidR="00A57265" w:rsidRDefault="00A57265" w:rsidP="00A57265"/>
    <w:p w:rsidR="00A57265" w:rsidRDefault="00A57265" w:rsidP="00A57265">
      <w:pPr>
        <w:pStyle w:val="2"/>
        <w:jc w:val="center"/>
      </w:pPr>
      <w:bookmarkStart w:id="9" w:name="_Toc141309873"/>
      <w:r>
        <w:lastRenderedPageBreak/>
        <w:t>Заключение</w:t>
      </w:r>
      <w:bookmarkEnd w:id="9"/>
    </w:p>
    <w:p w:rsidR="00BC7840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разнообразия клинических проявлений ГЛК, вовлеченности в процесс костей, кожных покровов, различных органов и тканей необходимо иметь представление об этом заболевании врачам разных специальностей, в первую очередь педиатрам,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дерматовенерологам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оториноларингологам</w:t>
      </w:r>
      <w:proofErr w:type="spellEnd"/>
      <w:r w:rsidRPr="00A5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специалистам. Своевременная диагностика позволяет начать эффективное лечение, что в значительной степени оптимизирует прогноз</w:t>
      </w:r>
      <w:r>
        <w:rPr>
          <w:rFonts w:ascii="Circle Light" w:hAnsi="Circle Light"/>
          <w:color w:val="000000"/>
          <w:sz w:val="18"/>
          <w:szCs w:val="18"/>
          <w:shd w:val="clear" w:color="auto" w:fill="F3F5F8"/>
        </w:rPr>
        <w:t xml:space="preserve">. </w:t>
      </w: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BC7840">
      <w:pPr>
        <w:rPr>
          <w:rFonts w:ascii="Circle Light" w:hAnsi="Circle Light"/>
          <w:color w:val="000000"/>
          <w:sz w:val="18"/>
          <w:szCs w:val="18"/>
          <w:shd w:val="clear" w:color="auto" w:fill="F3F5F8"/>
        </w:rPr>
      </w:pPr>
    </w:p>
    <w:p w:rsidR="00A57265" w:rsidRDefault="00A57265" w:rsidP="00A57265">
      <w:pPr>
        <w:pStyle w:val="2"/>
        <w:jc w:val="center"/>
        <w:rPr>
          <w:shd w:val="clear" w:color="auto" w:fill="F3F5F8"/>
        </w:rPr>
      </w:pPr>
      <w:bookmarkStart w:id="10" w:name="_Toc141309874"/>
      <w:r>
        <w:rPr>
          <w:shd w:val="clear" w:color="auto" w:fill="F3F5F8"/>
        </w:rPr>
        <w:lastRenderedPageBreak/>
        <w:t>Список литературы</w:t>
      </w:r>
      <w:bookmarkEnd w:id="10"/>
    </w:p>
    <w:p w:rsidR="009C261B" w:rsidRPr="005547E6" w:rsidRDefault="009C261B" w:rsidP="009C261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Шарова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Н.М.,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Кукало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С.В.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Лангергансоклеточный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гистиоцитоз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детей. Клиническая дерматология и венерология. 2021;20(5):21</w:t>
      </w: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25.</w:t>
      </w:r>
    </w:p>
    <w:p w:rsidR="009C261B" w:rsidRPr="005547E6" w:rsidRDefault="009C261B" w:rsidP="009C261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КЛИНИЧЕСКИЕ РЕКОМЕНДАЦИИ ПО ДИАГНОСТИКЕ И ЛЕЧЕНИЮ ГИСТИОЦИТОЗ ИЗ КЛЕТОК ЛАНГЕРГАНСА. 2014г.</w:t>
      </w:r>
    </w:p>
    <w:p w:rsidR="009C261B" w:rsidRPr="005547E6" w:rsidRDefault="009C261B" w:rsidP="009C261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Файзуллина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Р.М, Гафурова Р.Р.,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Шангареева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Тихонова И.В.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Гистиоцитоз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клеток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Лангерганса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трудный диагноз (клинический случай).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</w:t>
      </w:r>
      <w:proofErr w:type="gram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2019</w:t>
      </w:r>
    </w:p>
    <w:p w:rsidR="009C261B" w:rsidRPr="005547E6" w:rsidRDefault="009C261B" w:rsidP="009C261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Румянцев А.Г.,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Масчан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</w:t>
      </w:r>
      <w:r w:rsidR="005547E6"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Жуковская А.В., ред. Детская гематология. 2015. 647 </w:t>
      </w:r>
      <w:proofErr w:type="gramStart"/>
      <w:r w:rsidR="005547E6"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547E6"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7E6" w:rsidRPr="005547E6" w:rsidRDefault="005547E6" w:rsidP="009C261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Бурцев Е.А.,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Бронин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Гистиоцитоз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клеток </w:t>
      </w:r>
      <w:proofErr w:type="spellStart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Лангерганса</w:t>
      </w:r>
      <w:proofErr w:type="spellEnd"/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детей: обзор литературы. Вопросы современной педиатрии. 2023;22(1):13-22.</w:t>
      </w:r>
    </w:p>
    <w:sectPr w:rsidR="005547E6" w:rsidRPr="005547E6" w:rsidSect="0046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le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FA9"/>
    <w:multiLevelType w:val="hybridMultilevel"/>
    <w:tmpl w:val="0B10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03E3"/>
    <w:multiLevelType w:val="multilevel"/>
    <w:tmpl w:val="8F1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4824"/>
    <w:rsid w:val="00153EE3"/>
    <w:rsid w:val="00157D58"/>
    <w:rsid w:val="001E7811"/>
    <w:rsid w:val="002A3724"/>
    <w:rsid w:val="004653E1"/>
    <w:rsid w:val="005547E6"/>
    <w:rsid w:val="006544F8"/>
    <w:rsid w:val="009C261B"/>
    <w:rsid w:val="00A57265"/>
    <w:rsid w:val="00B64824"/>
    <w:rsid w:val="00BC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24"/>
  </w:style>
  <w:style w:type="paragraph" w:styleId="1">
    <w:name w:val="heading 1"/>
    <w:basedOn w:val="a"/>
    <w:next w:val="a"/>
    <w:link w:val="10"/>
    <w:uiPriority w:val="9"/>
    <w:qFormat/>
    <w:rsid w:val="00554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4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D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">
    <w:name w:val="body"/>
    <w:basedOn w:val="a"/>
    <w:rsid w:val="002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A372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57D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157D58"/>
    <w:rPr>
      <w:b/>
      <w:bCs/>
    </w:rPr>
  </w:style>
  <w:style w:type="paragraph" w:styleId="a5">
    <w:name w:val="Normal (Web)"/>
    <w:basedOn w:val="a"/>
    <w:uiPriority w:val="99"/>
    <w:semiHidden/>
    <w:unhideWhenUsed/>
    <w:rsid w:val="0065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44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26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4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547E6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547E6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55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1%D0%BE%D0%BB%D0%B5%D0%B7%D0%BD%D1%8C_%D0%A2%D0%B0%D1%80%D0%B0%D1%82%D1%8B%D0%BD%D0%BE%D0%B2%D0%B0&amp;action=edit&amp;redlink=1" TargetMode="External"/><Relationship Id="rId13" Type="http://schemas.openxmlformats.org/officeDocument/2006/relationships/hyperlink" Target="https://ru.wikipedia.org/wiki/%D0%A1%D1%82%D0%BE%D0%BC%D0%B0%D1%82%D0%B8%D1%8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E%D0%BB%D0%B5%D0%B7%D0%BD%D1%8C_%D0%90%D0%B1%D1%82%D0%B0-%D0%9B%D0%B5%D1%82%D1%82%D0%B5%D1%80%D0%B5%D1%80%D0%B0-%D0%A1%D0%B8%D0%B2%D0%B5" TargetMode="External"/><Relationship Id="rId12" Type="http://schemas.openxmlformats.org/officeDocument/2006/relationships/hyperlink" Target="https://ru.wikipedia.org/wiki/%D0%A1%D0%B5%D0%B1%D0%BE%D1%80%D0%B5%D1%8F" TargetMode="External"/><Relationship Id="rId17" Type="http://schemas.openxmlformats.org/officeDocument/2006/relationships/hyperlink" Target="https://ru.wikipedia.org/wiki/%D0%90%D0%BD%D0%B5%D0%BC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D%D0%BA%D0%B7%D0%BE%D1%84%D1%82%D0%B0%D0%BB%D1%8C%D0%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E%D0%BB%D0%B5%D0%B7%D0%BD%D1%8C_%D0%A5%D0%B5%D0%BD%D0%B4%D0%B0_%E2%80%94_%D0%A8%D1%8E%D0%BB%D0%BB%D0%B5%D1%80%D0%B0_%E2%80%94_%D0%9A%D1%80%D0%B8%D1%81%D1%87%D0%B5%D0%BD%D0%B0" TargetMode="External"/><Relationship Id="rId11" Type="http://schemas.openxmlformats.org/officeDocument/2006/relationships/hyperlink" Target="https://ru.wikipedia.org/wiki/%D0%9D%D0%B5%D1%81%D0%B0%D1%85%D0%B0%D1%80%D0%BD%D1%8B%D0%B9_%D0%B4%D0%B8%D0%B0%D0%B1%D0%B5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0%D1%81%D1%82%D0%BE%D0%B8%D0%B4%D0%B8%D1%82" TargetMode="External"/><Relationship Id="rId10" Type="http://schemas.openxmlformats.org/officeDocument/2006/relationships/hyperlink" Target="https://ru.wikipedia.org/wiki/%D0%AD%D0%BA%D0%B7%D0%BE%D1%84%D1%82%D0%B0%D0%BB%D1%8C%D0%B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D%D0%BE%D0%B7%D0%B8%D0%BD%D0%BE%D1%84%D0%B8%D0%BB%D1%8C%D0%BD%D0%B0%D1%8F_%D0%B3%D1%80%D0%B0%D0%BD%D1%83%D0%BB%D1%91%D0%BC%D0%B0&amp;action=edit&amp;redlink=1" TargetMode="External"/><Relationship Id="rId14" Type="http://schemas.openxmlformats.org/officeDocument/2006/relationships/hyperlink" Target="https://ru.wikipedia.org/wiki/%D0%9E%D1%82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A436B-5D19-4E5C-AC2E-55752D84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16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2023-07-26T15:42:00Z</dcterms:created>
  <dcterms:modified xsi:type="dcterms:W3CDTF">2023-07-26T17:25:00Z</dcterms:modified>
</cp:coreProperties>
</file>