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4D38" w14:textId="77777777" w:rsidR="00002A07" w:rsidRPr="006610A6" w:rsidRDefault="00002A07" w:rsidP="00002A07">
      <w:pPr>
        <w:spacing w:after="160"/>
        <w:jc w:val="center"/>
        <w:rPr>
          <w:sz w:val="24"/>
          <w:szCs w:val="24"/>
        </w:rPr>
      </w:pPr>
      <w:r w:rsidRPr="006610A6">
        <w:rPr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России</w:t>
      </w:r>
    </w:p>
    <w:p w14:paraId="5F1D2FC3" w14:textId="77777777" w:rsidR="00002A07" w:rsidRPr="006610A6" w:rsidRDefault="00002A07" w:rsidP="00002A07">
      <w:pPr>
        <w:spacing w:after="160"/>
        <w:jc w:val="center"/>
        <w:rPr>
          <w:sz w:val="24"/>
          <w:szCs w:val="24"/>
        </w:rPr>
      </w:pPr>
      <w:r w:rsidRPr="006610A6">
        <w:rPr>
          <w:sz w:val="24"/>
          <w:szCs w:val="24"/>
          <w:shd w:val="clear" w:color="auto" w:fill="FFFFFF"/>
        </w:rPr>
        <w:t>Кафедра поликлинической терапии и семейной медицины с курсом ПО</w:t>
      </w:r>
    </w:p>
    <w:p w14:paraId="7DBE448C" w14:textId="77777777" w:rsidR="00002A07" w:rsidRPr="006610A6" w:rsidRDefault="00002A07" w:rsidP="00002A07">
      <w:pPr>
        <w:spacing w:after="160"/>
        <w:jc w:val="right"/>
        <w:rPr>
          <w:sz w:val="24"/>
          <w:szCs w:val="24"/>
        </w:rPr>
      </w:pPr>
    </w:p>
    <w:p w14:paraId="0758A09B" w14:textId="77777777" w:rsidR="00002A07" w:rsidRPr="006610A6" w:rsidRDefault="00002A07" w:rsidP="00002A07">
      <w:pPr>
        <w:spacing w:after="160"/>
        <w:jc w:val="right"/>
        <w:rPr>
          <w:sz w:val="24"/>
          <w:szCs w:val="24"/>
        </w:rPr>
      </w:pPr>
      <w:r w:rsidRPr="006610A6">
        <w:rPr>
          <w:sz w:val="24"/>
          <w:szCs w:val="24"/>
          <w:shd w:val="clear" w:color="auto" w:fill="FFFFFF"/>
        </w:rPr>
        <w:t>Зав. кафедрой: ДМН, проф. Петрова М.М.</w:t>
      </w:r>
    </w:p>
    <w:p w14:paraId="6E160397" w14:textId="77777777" w:rsidR="00002A07" w:rsidRPr="006610A6" w:rsidRDefault="00002A07" w:rsidP="00002A07">
      <w:pPr>
        <w:spacing w:after="160"/>
        <w:rPr>
          <w:sz w:val="24"/>
          <w:szCs w:val="24"/>
        </w:rPr>
      </w:pPr>
    </w:p>
    <w:p w14:paraId="5D94BB47" w14:textId="77777777" w:rsidR="00002A07" w:rsidRPr="006610A6" w:rsidRDefault="00002A07" w:rsidP="00002A07">
      <w:pPr>
        <w:spacing w:after="160"/>
        <w:rPr>
          <w:sz w:val="24"/>
          <w:szCs w:val="24"/>
        </w:rPr>
      </w:pPr>
    </w:p>
    <w:p w14:paraId="2DE183B6" w14:textId="77777777" w:rsidR="00002A07" w:rsidRPr="006610A6" w:rsidRDefault="00002A07" w:rsidP="00002A07">
      <w:pPr>
        <w:spacing w:after="160"/>
        <w:jc w:val="center"/>
        <w:rPr>
          <w:sz w:val="24"/>
          <w:szCs w:val="24"/>
        </w:rPr>
      </w:pPr>
      <w:r w:rsidRPr="006610A6">
        <w:rPr>
          <w:sz w:val="24"/>
          <w:szCs w:val="24"/>
          <w:shd w:val="clear" w:color="auto" w:fill="FFFFFF"/>
        </w:rPr>
        <w:t>Реферат на тему:</w:t>
      </w:r>
    </w:p>
    <w:p w14:paraId="3F86ACB1" w14:textId="15FB7D5C" w:rsidR="00002A07" w:rsidRPr="006610A6" w:rsidRDefault="00002A07" w:rsidP="00002A07">
      <w:pPr>
        <w:spacing w:after="160"/>
        <w:jc w:val="center"/>
        <w:rPr>
          <w:sz w:val="24"/>
          <w:szCs w:val="24"/>
        </w:rPr>
      </w:pPr>
      <w:r w:rsidRPr="006610A6">
        <w:rPr>
          <w:sz w:val="24"/>
          <w:szCs w:val="24"/>
          <w:shd w:val="clear" w:color="auto" w:fill="FFFFFF"/>
        </w:rPr>
        <w:t>«</w:t>
      </w:r>
      <w:r w:rsidRPr="00002A07">
        <w:rPr>
          <w:sz w:val="24"/>
          <w:szCs w:val="24"/>
          <w:shd w:val="clear" w:color="auto" w:fill="FFFFFF"/>
        </w:rPr>
        <w:t>Наследственный ангионевротический отек</w:t>
      </w:r>
      <w:r w:rsidRPr="006610A6">
        <w:rPr>
          <w:sz w:val="24"/>
          <w:szCs w:val="24"/>
          <w:shd w:val="clear" w:color="auto" w:fill="FFFFFF"/>
        </w:rPr>
        <w:t>»</w:t>
      </w:r>
    </w:p>
    <w:p w14:paraId="2C9BD865" w14:textId="77777777" w:rsidR="00002A07" w:rsidRPr="006610A6" w:rsidRDefault="00002A07" w:rsidP="00002A07">
      <w:pPr>
        <w:spacing w:after="160"/>
        <w:rPr>
          <w:sz w:val="24"/>
          <w:szCs w:val="24"/>
        </w:rPr>
      </w:pPr>
    </w:p>
    <w:p w14:paraId="71C96937" w14:textId="77777777" w:rsidR="00002A07" w:rsidRPr="006610A6" w:rsidRDefault="00002A07" w:rsidP="00002A07">
      <w:pPr>
        <w:spacing w:after="160"/>
        <w:rPr>
          <w:sz w:val="24"/>
          <w:szCs w:val="24"/>
        </w:rPr>
      </w:pPr>
    </w:p>
    <w:p w14:paraId="56D64A9B" w14:textId="77777777" w:rsidR="00002A07" w:rsidRPr="006610A6" w:rsidRDefault="00002A07" w:rsidP="00002A07">
      <w:pPr>
        <w:spacing w:after="160"/>
        <w:rPr>
          <w:sz w:val="24"/>
          <w:szCs w:val="24"/>
        </w:rPr>
      </w:pPr>
    </w:p>
    <w:p w14:paraId="75F8FE3D" w14:textId="77777777" w:rsidR="00002A07" w:rsidRPr="006610A6" w:rsidRDefault="00002A07" w:rsidP="00002A07">
      <w:pPr>
        <w:spacing w:after="160"/>
        <w:rPr>
          <w:sz w:val="24"/>
          <w:szCs w:val="24"/>
        </w:rPr>
      </w:pPr>
    </w:p>
    <w:p w14:paraId="6C3E5382" w14:textId="77777777" w:rsidR="00002A07" w:rsidRPr="006610A6" w:rsidRDefault="00002A07" w:rsidP="00002A07">
      <w:pPr>
        <w:spacing w:after="160"/>
        <w:rPr>
          <w:sz w:val="24"/>
          <w:szCs w:val="24"/>
        </w:rPr>
      </w:pPr>
    </w:p>
    <w:p w14:paraId="2E168B0D" w14:textId="77777777" w:rsidR="00002A07" w:rsidRPr="006610A6" w:rsidRDefault="00002A07" w:rsidP="00002A07">
      <w:pPr>
        <w:spacing w:after="160"/>
        <w:jc w:val="right"/>
        <w:rPr>
          <w:sz w:val="24"/>
          <w:szCs w:val="24"/>
        </w:rPr>
      </w:pPr>
      <w:r w:rsidRPr="006610A6">
        <w:rPr>
          <w:sz w:val="24"/>
          <w:szCs w:val="24"/>
          <w:shd w:val="clear" w:color="auto" w:fill="FFFFFF"/>
        </w:rPr>
        <w:t xml:space="preserve">Выполнил: ординатор 1 года,112 группы, </w:t>
      </w:r>
    </w:p>
    <w:p w14:paraId="31E1500F" w14:textId="792544F6" w:rsidR="00002A07" w:rsidRPr="006610A6" w:rsidRDefault="00002A07" w:rsidP="00002A07">
      <w:pPr>
        <w:spacing w:after="160"/>
        <w:jc w:val="right"/>
        <w:rPr>
          <w:sz w:val="24"/>
          <w:szCs w:val="24"/>
        </w:rPr>
      </w:pPr>
      <w:r w:rsidRPr="006610A6">
        <w:rPr>
          <w:sz w:val="24"/>
          <w:szCs w:val="24"/>
          <w:shd w:val="clear" w:color="auto" w:fill="FFFFFF"/>
        </w:rPr>
        <w:t xml:space="preserve">специальности «Общая врачебная практика» </w:t>
      </w:r>
      <w:proofErr w:type="spellStart"/>
      <w:r w:rsidRPr="006610A6">
        <w:rPr>
          <w:sz w:val="24"/>
          <w:szCs w:val="24"/>
          <w:shd w:val="clear" w:color="auto" w:fill="FFFFFF"/>
        </w:rPr>
        <w:t>Цюпк</w:t>
      </w:r>
      <w:r>
        <w:rPr>
          <w:sz w:val="24"/>
          <w:szCs w:val="24"/>
          <w:shd w:val="clear" w:color="auto" w:fill="FFFFFF"/>
        </w:rPr>
        <w:t>о</w:t>
      </w:r>
      <w:proofErr w:type="spellEnd"/>
      <w:r w:rsidRPr="006610A6">
        <w:rPr>
          <w:sz w:val="24"/>
          <w:szCs w:val="24"/>
          <w:shd w:val="clear" w:color="auto" w:fill="FFFFFF"/>
        </w:rPr>
        <w:t xml:space="preserve"> М.Д. </w:t>
      </w:r>
    </w:p>
    <w:p w14:paraId="2BC91D3A" w14:textId="77777777" w:rsidR="00002A07" w:rsidRPr="006610A6" w:rsidRDefault="00002A07" w:rsidP="00002A07">
      <w:pPr>
        <w:spacing w:after="160"/>
        <w:rPr>
          <w:sz w:val="24"/>
          <w:szCs w:val="24"/>
        </w:rPr>
      </w:pPr>
    </w:p>
    <w:p w14:paraId="5D730260" w14:textId="77777777" w:rsidR="00002A07" w:rsidRPr="006610A6" w:rsidRDefault="00002A07" w:rsidP="00002A07">
      <w:pPr>
        <w:spacing w:after="160"/>
        <w:rPr>
          <w:sz w:val="24"/>
          <w:szCs w:val="24"/>
        </w:rPr>
      </w:pPr>
    </w:p>
    <w:p w14:paraId="202F0195" w14:textId="77777777" w:rsidR="00002A07" w:rsidRPr="006610A6" w:rsidRDefault="00002A07" w:rsidP="00002A07">
      <w:pPr>
        <w:spacing w:after="160"/>
        <w:rPr>
          <w:sz w:val="24"/>
          <w:szCs w:val="24"/>
        </w:rPr>
      </w:pPr>
    </w:p>
    <w:p w14:paraId="465C6966" w14:textId="77777777" w:rsidR="00002A07" w:rsidRPr="006610A6" w:rsidRDefault="00002A07" w:rsidP="00002A07">
      <w:pPr>
        <w:spacing w:after="160"/>
        <w:rPr>
          <w:sz w:val="24"/>
          <w:szCs w:val="24"/>
        </w:rPr>
      </w:pPr>
    </w:p>
    <w:p w14:paraId="624457B4" w14:textId="77777777" w:rsidR="00002A07" w:rsidRPr="006610A6" w:rsidRDefault="00002A07" w:rsidP="00002A07">
      <w:pPr>
        <w:spacing w:after="160"/>
        <w:rPr>
          <w:sz w:val="24"/>
          <w:szCs w:val="24"/>
        </w:rPr>
      </w:pPr>
    </w:p>
    <w:p w14:paraId="72E57293" w14:textId="77777777" w:rsidR="00002A07" w:rsidRPr="006610A6" w:rsidRDefault="00002A07" w:rsidP="00002A07">
      <w:pPr>
        <w:spacing w:after="160"/>
        <w:rPr>
          <w:sz w:val="24"/>
          <w:szCs w:val="24"/>
        </w:rPr>
      </w:pPr>
    </w:p>
    <w:p w14:paraId="6769579A" w14:textId="77777777" w:rsidR="00002A07" w:rsidRPr="006610A6" w:rsidRDefault="00002A07" w:rsidP="00002A07">
      <w:pPr>
        <w:spacing w:after="160"/>
        <w:rPr>
          <w:sz w:val="24"/>
          <w:szCs w:val="24"/>
        </w:rPr>
      </w:pPr>
    </w:p>
    <w:p w14:paraId="4F52A5DB" w14:textId="77777777" w:rsidR="00002A07" w:rsidRPr="006610A6" w:rsidRDefault="00002A07" w:rsidP="00002A07">
      <w:pPr>
        <w:spacing w:after="160"/>
        <w:rPr>
          <w:sz w:val="24"/>
          <w:szCs w:val="24"/>
        </w:rPr>
      </w:pPr>
    </w:p>
    <w:p w14:paraId="30B1A684" w14:textId="77777777" w:rsidR="00002A07" w:rsidRPr="006610A6" w:rsidRDefault="00002A07" w:rsidP="00002A07">
      <w:pPr>
        <w:spacing w:after="160"/>
        <w:rPr>
          <w:sz w:val="24"/>
          <w:szCs w:val="24"/>
        </w:rPr>
      </w:pPr>
    </w:p>
    <w:p w14:paraId="2A4DD545" w14:textId="77777777" w:rsidR="00002A07" w:rsidRPr="006610A6" w:rsidRDefault="00002A07" w:rsidP="00002A07">
      <w:pPr>
        <w:spacing w:after="160"/>
        <w:rPr>
          <w:sz w:val="24"/>
          <w:szCs w:val="24"/>
        </w:rPr>
      </w:pPr>
    </w:p>
    <w:p w14:paraId="06FB7E34" w14:textId="77777777" w:rsidR="00002A07" w:rsidRPr="006610A6" w:rsidRDefault="00002A07" w:rsidP="00002A07">
      <w:pPr>
        <w:spacing w:after="160"/>
        <w:jc w:val="center"/>
        <w:rPr>
          <w:sz w:val="24"/>
          <w:szCs w:val="24"/>
        </w:rPr>
      </w:pPr>
      <w:r w:rsidRPr="006610A6">
        <w:rPr>
          <w:sz w:val="24"/>
          <w:szCs w:val="24"/>
          <w:shd w:val="clear" w:color="auto" w:fill="FFFFFF"/>
        </w:rPr>
        <w:t>Красноярск 2022</w:t>
      </w:r>
    </w:p>
    <w:p w14:paraId="4E87823B" w14:textId="77777777" w:rsidR="00002A07" w:rsidRDefault="00002A07" w:rsidP="001B211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14:paraId="5E0A922A" w14:textId="77777777" w:rsidR="00002A07" w:rsidRDefault="00002A07" w:rsidP="001B211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689055860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5D2D1D75" w14:textId="77777777" w:rsidR="00002A07" w:rsidRDefault="00002A07" w:rsidP="00002A07">
          <w:pPr>
            <w:pStyle w:val="af4"/>
          </w:pPr>
          <w:r>
            <w:t>Оглавление</w:t>
          </w:r>
        </w:p>
        <w:p w14:paraId="16900592" w14:textId="2BFF790F" w:rsidR="00637BFE" w:rsidRDefault="00002A0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037634" w:history="1">
            <w:r w:rsidR="00637BFE" w:rsidRPr="00885D69">
              <w:rPr>
                <w:rStyle w:val="af5"/>
                <w:rFonts w:eastAsia="Times New Roman"/>
                <w:noProof/>
                <w:lang w:eastAsia="ru-RU"/>
              </w:rPr>
              <w:t>Введение</w:t>
            </w:r>
            <w:r w:rsidR="00637BFE">
              <w:rPr>
                <w:noProof/>
                <w:webHidden/>
              </w:rPr>
              <w:tab/>
            </w:r>
            <w:r w:rsidR="00637BFE">
              <w:rPr>
                <w:noProof/>
                <w:webHidden/>
              </w:rPr>
              <w:fldChar w:fldCharType="begin"/>
            </w:r>
            <w:r w:rsidR="00637BFE">
              <w:rPr>
                <w:noProof/>
                <w:webHidden/>
              </w:rPr>
              <w:instrText xml:space="preserve"> PAGEREF _Toc122037634 \h </w:instrText>
            </w:r>
            <w:r w:rsidR="00637BFE">
              <w:rPr>
                <w:noProof/>
                <w:webHidden/>
              </w:rPr>
            </w:r>
            <w:r w:rsidR="00637BFE">
              <w:rPr>
                <w:noProof/>
                <w:webHidden/>
              </w:rPr>
              <w:fldChar w:fldCharType="separate"/>
            </w:r>
            <w:r w:rsidR="00637BFE">
              <w:rPr>
                <w:noProof/>
                <w:webHidden/>
              </w:rPr>
              <w:t>3</w:t>
            </w:r>
            <w:r w:rsidR="00637BFE">
              <w:rPr>
                <w:noProof/>
                <w:webHidden/>
              </w:rPr>
              <w:fldChar w:fldCharType="end"/>
            </w:r>
          </w:hyperlink>
        </w:p>
        <w:p w14:paraId="2E326F68" w14:textId="41899CDD" w:rsidR="00637BFE" w:rsidRDefault="00637BF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2037635" w:history="1">
            <w:r w:rsidRPr="00885D69">
              <w:rPr>
                <w:rStyle w:val="af5"/>
                <w:noProof/>
              </w:rPr>
              <w:t>Клиническая картина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_Toc122037635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8B98D" w14:textId="1D848611" w:rsidR="00637BFE" w:rsidRDefault="00637BFE">
          <w:pPr>
            <w:pStyle w:val="3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22037636" w:history="1">
            <w:r w:rsidRPr="00885D69">
              <w:rPr>
                <w:rStyle w:val="af5"/>
                <w:noProof/>
              </w:rPr>
              <w:t>Периферические отёки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_Toc122037636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34F14" w14:textId="287BADC0" w:rsidR="00637BFE" w:rsidRDefault="00637BFE">
          <w:pPr>
            <w:pStyle w:val="3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22037637" w:history="1">
            <w:r w:rsidRPr="00885D69">
              <w:rPr>
                <w:rStyle w:val="af5"/>
                <w:noProof/>
              </w:rPr>
              <w:t>Абдоминальные атаки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_Toc122037637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9DB1F2" w14:textId="652D7547" w:rsidR="00637BFE" w:rsidRDefault="00637BF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2037638" w:history="1">
            <w:r w:rsidRPr="00885D69">
              <w:rPr>
                <w:rStyle w:val="af5"/>
                <w:noProof/>
              </w:rPr>
              <w:t>Классификация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_Toc122037638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0582B" w14:textId="48CEFF38" w:rsidR="00637BFE" w:rsidRDefault="00637BFE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122037639" w:history="1">
            <w:r w:rsidRPr="00885D69">
              <w:rPr>
                <w:rStyle w:val="af5"/>
                <w:noProof/>
              </w:rPr>
              <w:t>НАО с дефицитом С1-ИНГ.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_Toc122037639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035FDB" w14:textId="09DD12A5" w:rsidR="00637BFE" w:rsidRDefault="00637BFE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122037640" w:history="1">
            <w:r w:rsidRPr="00885D69">
              <w:rPr>
                <w:rStyle w:val="af5"/>
                <w:noProof/>
              </w:rPr>
              <w:t>НАО без дефицита С1-ИНГ (без патологии системы комплемента):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_Toc122037640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14687" w14:textId="06416ED0" w:rsidR="00637BFE" w:rsidRDefault="00637BF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2037641" w:history="1">
            <w:r w:rsidRPr="00885D69">
              <w:rPr>
                <w:rStyle w:val="af5"/>
                <w:noProof/>
              </w:rPr>
              <w:t>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_Toc122037641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B6728" w14:textId="74014ED0" w:rsidR="00637BFE" w:rsidRDefault="00637BF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2037642" w:history="1">
            <w:r w:rsidRPr="00885D69">
              <w:rPr>
                <w:rStyle w:val="af5"/>
                <w:noProof/>
              </w:rPr>
              <w:t>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_Toc122037642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1599F" w14:textId="5425C55B" w:rsidR="00637BFE" w:rsidRDefault="00637BFE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122037643" w:history="1">
            <w:r w:rsidRPr="00885D69">
              <w:rPr>
                <w:rStyle w:val="af5"/>
                <w:noProof/>
              </w:rPr>
              <w:t>Краткосрочная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_Toc122037643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81EC5" w14:textId="0929B455" w:rsidR="00637BFE" w:rsidRDefault="00637BFE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122037644" w:history="1">
            <w:r w:rsidRPr="00885D69">
              <w:rPr>
                <w:rStyle w:val="af5"/>
                <w:noProof/>
              </w:rPr>
              <w:t>Долгосрочная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_Toc122037644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16EFF" w14:textId="483E364B" w:rsidR="00637BFE" w:rsidRDefault="00637BF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2037645" w:history="1">
            <w:r w:rsidRPr="00885D69">
              <w:rPr>
                <w:rStyle w:val="af5"/>
                <w:noProof/>
              </w:rPr>
              <w:t>Список литературы: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_Toc122037645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E1BEB" w14:textId="5A9BD0D3" w:rsidR="00002A07" w:rsidRDefault="00002A07" w:rsidP="00002A07">
          <w:r>
            <w:rPr>
              <w:b/>
              <w:bCs/>
            </w:rPr>
            <w:fldChar w:fldCharType="end"/>
          </w:r>
        </w:p>
      </w:sdtContent>
    </w:sdt>
    <w:p w14:paraId="452C9EDB" w14:textId="77777777" w:rsidR="00002A07" w:rsidRDefault="00002A07" w:rsidP="001B211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14:paraId="64E0066E" w14:textId="77777777" w:rsidR="00002A07" w:rsidRDefault="00002A07" w:rsidP="001B211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14:paraId="6705649E" w14:textId="77777777" w:rsidR="00002A07" w:rsidRDefault="00002A07" w:rsidP="001B211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14:paraId="6190A0F6" w14:textId="77777777" w:rsidR="00002A07" w:rsidRDefault="00002A07" w:rsidP="001B211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14:paraId="20A51F47" w14:textId="77777777" w:rsidR="00002A07" w:rsidRDefault="00002A07" w:rsidP="001B211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14:paraId="1DEFC221" w14:textId="4BB375EE" w:rsidR="00002A07" w:rsidRDefault="00002A07" w:rsidP="001B211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14:paraId="3EC00740" w14:textId="77777777" w:rsidR="00002A07" w:rsidRDefault="00002A07" w:rsidP="001B211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14:paraId="52C38FC7" w14:textId="77777777" w:rsidR="00002A07" w:rsidRDefault="00002A07" w:rsidP="001B211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14:paraId="5DE219E2" w14:textId="77777777" w:rsidR="00002A07" w:rsidRDefault="00002A07" w:rsidP="001B211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14:paraId="34D24546" w14:textId="77777777" w:rsidR="00002A07" w:rsidRDefault="00002A07" w:rsidP="001B211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14:paraId="1AC9EDA3" w14:textId="77777777" w:rsidR="00002A07" w:rsidRDefault="00002A07" w:rsidP="001B211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14:paraId="6C43C8D1" w14:textId="67E2E948" w:rsidR="00002A07" w:rsidRDefault="00002A07" w:rsidP="001B211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14:paraId="071C507E" w14:textId="6448A360" w:rsidR="00002A07" w:rsidRDefault="00002A07" w:rsidP="001B211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14:paraId="1509CAE1" w14:textId="77777777" w:rsidR="00002A07" w:rsidRDefault="00002A07" w:rsidP="001B211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14:paraId="57542DB9" w14:textId="6761265E" w:rsidR="001B2116" w:rsidRPr="001B2116" w:rsidRDefault="001B2116" w:rsidP="00002A07">
      <w:pPr>
        <w:pStyle w:val="1"/>
        <w:rPr>
          <w:rFonts w:eastAsia="Times New Roman"/>
          <w:lang w:eastAsia="ru-RU"/>
        </w:rPr>
      </w:pPr>
      <w:bookmarkStart w:id="0" w:name="_Toc122037634"/>
      <w:r w:rsidRPr="001B2116">
        <w:rPr>
          <w:rFonts w:eastAsia="Times New Roman"/>
          <w:lang w:eastAsia="ru-RU"/>
        </w:rPr>
        <w:lastRenderedPageBreak/>
        <w:t>Введение</w:t>
      </w:r>
      <w:bookmarkEnd w:id="0"/>
    </w:p>
    <w:p w14:paraId="536AF509" w14:textId="77777777" w:rsidR="00BB0D0C" w:rsidRDefault="001B2116">
      <w:r w:rsidRPr="001B2116">
        <w:t xml:space="preserve">Наследственный ангионевротический отек (НАО) — редкое, потенциально </w:t>
      </w:r>
      <w:proofErr w:type="spellStart"/>
      <w:r w:rsidRPr="001B2116">
        <w:t>жизнеугрожающее</w:t>
      </w:r>
      <w:proofErr w:type="spellEnd"/>
      <w:r w:rsidRPr="001B2116">
        <w:t>, генетически детерминированное заболевание с аутосомно-доминантным типом наследования, встречающееся прим</w:t>
      </w:r>
      <w:r>
        <w:t>ерно у 1 из 50 000 человек</w:t>
      </w:r>
      <w:r w:rsidRPr="001B2116">
        <w:t>. Мутация в гене SERPING1 приводит к дефициту количества ингибитора С1-эстеразы и/или снижению его функциональной активности. При раннем дебюте НАО у многих пациентов он тем не менее остается нераспознанным на протяжении десятков лет. Типичными ошибочными диагнозами являются аллергический или идиопатический ангионевротический отек, а в некоторых случаях — анафилаксия.</w:t>
      </w:r>
    </w:p>
    <w:p w14:paraId="49474A83" w14:textId="77777777" w:rsidR="001B2116" w:rsidRDefault="001B2116" w:rsidP="001B2116">
      <w:pPr>
        <w:pStyle w:val="Default"/>
      </w:pPr>
    </w:p>
    <w:p w14:paraId="4F02612D" w14:textId="77777777" w:rsidR="001B2116" w:rsidRDefault="001B2116" w:rsidP="00002A07">
      <w:pPr>
        <w:pStyle w:val="1"/>
      </w:pPr>
      <w:bookmarkStart w:id="1" w:name="_Toc122037635"/>
      <w:r>
        <w:t>Клиническая картина заболевания</w:t>
      </w:r>
      <w:bookmarkEnd w:id="1"/>
    </w:p>
    <w:p w14:paraId="2956D02B" w14:textId="77777777" w:rsidR="001B2116" w:rsidRDefault="001B2116" w:rsidP="001B2116">
      <w:r>
        <w:t>Характерен ранний дебют заболевания в первой или второй декаде жизни, однако возможно</w:t>
      </w:r>
      <w:r w:rsidR="00391B8D">
        <w:t xml:space="preserve"> </w:t>
      </w:r>
      <w:r>
        <w:t>более позднее появление первых симптомов вплоть до пожилого возраста. У</w:t>
      </w:r>
      <w:r w:rsidR="00391B8D">
        <w:t xml:space="preserve"> </w:t>
      </w:r>
      <w:r>
        <w:t>большинства пациентов прослеживается семейный анамнез, однако у 25% пациентов он</w:t>
      </w:r>
      <w:r w:rsidR="00391B8D">
        <w:t xml:space="preserve"> </w:t>
      </w:r>
      <w:r>
        <w:t>отсутствует.</w:t>
      </w:r>
    </w:p>
    <w:p w14:paraId="027CCCC7" w14:textId="77777777" w:rsidR="001B2116" w:rsidRDefault="001B2116" w:rsidP="001B2116">
      <w:r>
        <w:t>Клиническая картина заболевания проявляется АО различной локализации,</w:t>
      </w:r>
      <w:r w:rsidR="00391B8D">
        <w:t xml:space="preserve"> </w:t>
      </w:r>
      <w:r>
        <w:t xml:space="preserve">нечувствительными к терапии антигистаминными препаратами для системного применения </w:t>
      </w:r>
      <w:proofErr w:type="spellStart"/>
      <w:r>
        <w:t>исГКС</w:t>
      </w:r>
      <w:proofErr w:type="spellEnd"/>
      <w:r>
        <w:t>.</w:t>
      </w:r>
    </w:p>
    <w:p w14:paraId="08C8A8E4" w14:textId="77777777" w:rsidR="001B2116" w:rsidRDefault="001B2116" w:rsidP="001B2116">
      <w:r>
        <w:t>К наиболее частым клиническим проявлениям заболевания относятся:</w:t>
      </w:r>
    </w:p>
    <w:p w14:paraId="1503E7F5" w14:textId="77777777" w:rsidR="001B2116" w:rsidRDefault="001B2116" w:rsidP="00002A07">
      <w:pPr>
        <w:pStyle w:val="3"/>
      </w:pPr>
      <w:bookmarkStart w:id="2" w:name="_Toc122037636"/>
      <w:r>
        <w:t>Периферические отёки</w:t>
      </w:r>
      <w:bookmarkEnd w:id="2"/>
    </w:p>
    <w:p w14:paraId="51E66428" w14:textId="77777777" w:rsidR="001B2116" w:rsidRDefault="001B2116" w:rsidP="001B2116">
      <w:r>
        <w:t>– наиболее частое клиническое проявление заболевания, встречающееся</w:t>
      </w:r>
      <w:r w:rsidR="00391B8D">
        <w:t xml:space="preserve"> </w:t>
      </w:r>
      <w:r>
        <w:t>практически у 100% пациентов с НАО. Отёки рецидивирующие, не сопровождаются</w:t>
      </w:r>
      <w:r w:rsidR="00391B8D">
        <w:t xml:space="preserve"> </w:t>
      </w:r>
      <w:r>
        <w:t>крапивницей. Кожные покровы над отёком не гиперемированы и обычной температуры. Отёки</w:t>
      </w:r>
      <w:r w:rsidR="00391B8D">
        <w:t xml:space="preserve"> </w:t>
      </w:r>
      <w:r>
        <w:t>медленно нарастают, их средняя продолжительность 2-4 суток. Возможно наличие</w:t>
      </w:r>
      <w:r w:rsidR="00391B8D">
        <w:t xml:space="preserve"> </w:t>
      </w:r>
      <w:r>
        <w:t xml:space="preserve">покалывания, жжения, болезненности в месте отёка. Верхние и нижние конечности </w:t>
      </w:r>
      <w:r w:rsidR="00391B8D">
        <w:t>–</w:t>
      </w:r>
      <w:r>
        <w:t xml:space="preserve"> наиболее</w:t>
      </w:r>
      <w:r w:rsidR="00391B8D">
        <w:t xml:space="preserve"> </w:t>
      </w:r>
      <w:r>
        <w:t>частая локализация. `</w:t>
      </w:r>
    </w:p>
    <w:p w14:paraId="0E9D2C09" w14:textId="77777777" w:rsidR="001B2116" w:rsidRDefault="001B2116" w:rsidP="00002A07">
      <w:pPr>
        <w:pStyle w:val="3"/>
      </w:pPr>
      <w:bookmarkStart w:id="3" w:name="_Toc122037637"/>
      <w:r>
        <w:t>Абдоминальные атаки</w:t>
      </w:r>
      <w:bookmarkEnd w:id="3"/>
    </w:p>
    <w:p w14:paraId="3EAF1ACE" w14:textId="77777777" w:rsidR="001B2116" w:rsidRDefault="001B2116" w:rsidP="001B2116">
      <w:r>
        <w:t>– второй по частоте симптом, встречающийся у пациентов с НАО (более80%). Клинические проявления могут варьировать от дискомфорта до острой боли в области</w:t>
      </w:r>
      <w:r w:rsidR="00391B8D">
        <w:t xml:space="preserve"> </w:t>
      </w:r>
      <w:r>
        <w:t>живота, сопровождающейся рвотой, диареей или запором, вздутием, резкой слабостью (при</w:t>
      </w:r>
      <w:r w:rsidR="00391B8D">
        <w:t xml:space="preserve"> </w:t>
      </w:r>
      <w:r>
        <w:t xml:space="preserve">развитии асцита возникает гиповолемия). С помощью визуализирующих методов </w:t>
      </w:r>
      <w:proofErr w:type="gramStart"/>
      <w:r>
        <w:t>исследования(</w:t>
      </w:r>
      <w:proofErr w:type="gramEnd"/>
      <w:r>
        <w:t>ультразвуковое исследование (УЗИ) и компьютерная томография (КТ) органов брюшной</w:t>
      </w:r>
      <w:r w:rsidR="00391B8D">
        <w:t xml:space="preserve"> </w:t>
      </w:r>
      <w:r>
        <w:t>полости) можно выявить отёк участка кишечника и свободную жидкость в брюшной полости</w:t>
      </w:r>
      <w:r w:rsidR="00391B8D">
        <w:t xml:space="preserve"> </w:t>
      </w:r>
      <w:r>
        <w:t>или полости малого таза. Абдоминальные атаки часто являются причиной необоснованного</w:t>
      </w:r>
      <w:r w:rsidR="00391B8D">
        <w:t xml:space="preserve"> </w:t>
      </w:r>
      <w:r>
        <w:t xml:space="preserve">хирургического вмешательства, так как симптомы имитируют клинику «острого </w:t>
      </w:r>
      <w:proofErr w:type="gramStart"/>
      <w:r>
        <w:t>живота</w:t>
      </w:r>
      <w:r w:rsidR="00391B8D">
        <w:t xml:space="preserve"> </w:t>
      </w:r>
      <w:r>
        <w:t>».Не</w:t>
      </w:r>
      <w:proofErr w:type="gramEnd"/>
      <w:r w:rsidR="00391B8D">
        <w:t xml:space="preserve"> </w:t>
      </w:r>
      <w:r>
        <w:t>редко абдоминальные атаки являются первым клиническим проявлением заболевания, что</w:t>
      </w:r>
      <w:r w:rsidR="00391B8D">
        <w:t xml:space="preserve"> </w:t>
      </w:r>
      <w:r>
        <w:t>затруд</w:t>
      </w:r>
      <w:r w:rsidR="00391B8D">
        <w:t>няет постановку диагноза</w:t>
      </w:r>
      <w:r>
        <w:t>.</w:t>
      </w:r>
    </w:p>
    <w:p w14:paraId="5EA419E4" w14:textId="77777777" w:rsidR="001B2116" w:rsidRDefault="001B2116" w:rsidP="001B2116">
      <w:r>
        <w:t>Отёки, способные привести к асфиксии</w:t>
      </w:r>
    </w:p>
    <w:p w14:paraId="58821D7D" w14:textId="77777777" w:rsidR="001B2116" w:rsidRDefault="001B2116" w:rsidP="001B2116">
      <w:r>
        <w:t>(потенциально фатальные отёки): отёк гортани, отёк</w:t>
      </w:r>
      <w:r w:rsidR="00391B8D">
        <w:t xml:space="preserve"> </w:t>
      </w:r>
      <w:r>
        <w:t>языка, отёк связочного аппарата и небной занавески. При отёке языка – отмечается</w:t>
      </w:r>
      <w:r w:rsidR="00391B8D">
        <w:t xml:space="preserve"> </w:t>
      </w:r>
      <w:r>
        <w:t>существенное увеличение его в объеме, часто язык не помещае</w:t>
      </w:r>
      <w:r w:rsidR="00391B8D">
        <w:t>тся в ротовой полости</w:t>
      </w:r>
      <w:r>
        <w:t>.</w:t>
      </w:r>
    </w:p>
    <w:p w14:paraId="12B22033" w14:textId="77777777" w:rsidR="001B2116" w:rsidRDefault="001B2116" w:rsidP="001B2116">
      <w:r>
        <w:t>К более редким клиническим проявлениям заболевания относятся следующие проявления</w:t>
      </w:r>
      <w:r w:rsidR="00391B8D">
        <w:t xml:space="preserve"> </w:t>
      </w:r>
      <w:r>
        <w:t>заболевания</w:t>
      </w:r>
      <w:r w:rsidR="00391B8D">
        <w:t>.</w:t>
      </w:r>
    </w:p>
    <w:p w14:paraId="568A0B8F" w14:textId="77777777" w:rsidR="00391B8D" w:rsidRDefault="00391B8D" w:rsidP="00391B8D">
      <w:pPr>
        <w:pStyle w:val="a3"/>
        <w:numPr>
          <w:ilvl w:val="0"/>
          <w:numId w:val="2"/>
        </w:numPr>
      </w:pPr>
      <w:r>
        <w:lastRenderedPageBreak/>
        <w:t>Интенсивные головные боли (возникающие при отёке мозговых оболочек</w:t>
      </w:r>
      <w:proofErr w:type="gramStart"/>
      <w:r>
        <w:t>),сопровождающиеся</w:t>
      </w:r>
      <w:proofErr w:type="gramEnd"/>
      <w:r>
        <w:t xml:space="preserve"> ощущением сдавления головы, ощущением давления в глазных яблоках,</w:t>
      </w:r>
      <w:r w:rsidR="0065526A">
        <w:t xml:space="preserve"> </w:t>
      </w:r>
      <w:r>
        <w:t>нечувствительных к действию анальгетиков;</w:t>
      </w:r>
    </w:p>
    <w:p w14:paraId="08EA4E49" w14:textId="77777777" w:rsidR="00391B8D" w:rsidRDefault="00391B8D" w:rsidP="00391B8D">
      <w:pPr>
        <w:pStyle w:val="a3"/>
        <w:numPr>
          <w:ilvl w:val="0"/>
          <w:numId w:val="2"/>
        </w:numPr>
      </w:pPr>
      <w:r>
        <w:t>Сильные боли при мочеиспускании, прерывистое мочеиспускание, затруднение</w:t>
      </w:r>
      <w:r w:rsidR="0065526A">
        <w:t xml:space="preserve"> </w:t>
      </w:r>
      <w:r>
        <w:t>мочеиспускания вплоть до анурии, возникающие при отёке мочевого пузыря и уретры;</w:t>
      </w:r>
    </w:p>
    <w:p w14:paraId="1FC9F820" w14:textId="77777777" w:rsidR="00391B8D" w:rsidRDefault="00391B8D" w:rsidP="00391B8D">
      <w:pPr>
        <w:pStyle w:val="a3"/>
        <w:numPr>
          <w:ilvl w:val="0"/>
          <w:numId w:val="2"/>
        </w:numPr>
      </w:pPr>
      <w:r>
        <w:t>Отёки мышц, характеризующиеся ограниченным уплотнением мышцы;</w:t>
      </w:r>
    </w:p>
    <w:p w14:paraId="2240A08B" w14:textId="77777777" w:rsidR="00391B8D" w:rsidRDefault="00391B8D" w:rsidP="00391B8D">
      <w:pPr>
        <w:pStyle w:val="a3"/>
        <w:numPr>
          <w:ilvl w:val="0"/>
          <w:numId w:val="2"/>
        </w:numPr>
      </w:pPr>
      <w:r>
        <w:t>Отёки суставов;</w:t>
      </w:r>
    </w:p>
    <w:p w14:paraId="245BC1D3" w14:textId="77777777" w:rsidR="00391B8D" w:rsidRDefault="00391B8D" w:rsidP="00391B8D">
      <w:pPr>
        <w:pStyle w:val="a3"/>
        <w:numPr>
          <w:ilvl w:val="0"/>
          <w:numId w:val="2"/>
        </w:numPr>
      </w:pPr>
      <w:r>
        <w:t>Боль и/или ощущение сдавления в области грудной клетки, не сопровождающиеся</w:t>
      </w:r>
      <w:r w:rsidR="0065526A">
        <w:t xml:space="preserve"> </w:t>
      </w:r>
      <w:r>
        <w:t>изменениями на электрокардиограмме.</w:t>
      </w:r>
    </w:p>
    <w:p w14:paraId="6F278082" w14:textId="77777777" w:rsidR="00391B8D" w:rsidRDefault="00391B8D" w:rsidP="00391B8D">
      <w:pPr>
        <w:pStyle w:val="a3"/>
        <w:numPr>
          <w:ilvl w:val="0"/>
          <w:numId w:val="2"/>
        </w:numPr>
      </w:pPr>
      <w:r>
        <w:t>Боль в области почек;</w:t>
      </w:r>
    </w:p>
    <w:p w14:paraId="5979F8A8" w14:textId="77777777" w:rsidR="00391B8D" w:rsidRDefault="00391B8D" w:rsidP="00391B8D">
      <w:pPr>
        <w:pStyle w:val="a3"/>
        <w:numPr>
          <w:ilvl w:val="0"/>
          <w:numId w:val="2"/>
        </w:numPr>
      </w:pPr>
      <w:r>
        <w:t>Боль в области пищевода.</w:t>
      </w:r>
    </w:p>
    <w:p w14:paraId="37452192" w14:textId="77777777" w:rsidR="00391B8D" w:rsidRDefault="00391B8D" w:rsidP="00391B8D">
      <w:r>
        <w:t>У пациентов могут быть могут иметь место «предвестники» отёков: колебание настроения, депрессия, слабость, парестезии, ощущение утолщения кожи, маргинальная эритема и др.;</w:t>
      </w:r>
    </w:p>
    <w:p w14:paraId="72259E06" w14:textId="77777777" w:rsidR="00391B8D" w:rsidRDefault="00391B8D" w:rsidP="00391B8D">
      <w:r>
        <w:t xml:space="preserve">Маргинальная эритема – не возвышающиеся над поверхностью кожи высыпания розово-красного цвета, без зуда и шелушения, проходящие бесследно в течение нескольких часов –двух суток. Могут быть самостоятельным проявлением заболевания или являться «предвестниками». </w:t>
      </w:r>
    </w:p>
    <w:p w14:paraId="282C5108" w14:textId="77777777" w:rsidR="00391B8D" w:rsidRDefault="00391B8D" w:rsidP="00391B8D">
      <w:r>
        <w:t>Триггеры:</w:t>
      </w:r>
    </w:p>
    <w:p w14:paraId="472D5554" w14:textId="77777777" w:rsidR="00391B8D" w:rsidRDefault="00391B8D" w:rsidP="00391B8D">
      <w:pPr>
        <w:pStyle w:val="a3"/>
        <w:numPr>
          <w:ilvl w:val="0"/>
          <w:numId w:val="1"/>
        </w:numPr>
      </w:pPr>
      <w:r>
        <w:t>механическая травма (в том числе, длительное сдавление, укол, ушиб, оперативные</w:t>
      </w:r>
      <w:r w:rsidR="0065526A">
        <w:t xml:space="preserve"> </w:t>
      </w:r>
      <w:r>
        <w:t>вмешательства, инвазивные методы обследования и др.);</w:t>
      </w:r>
    </w:p>
    <w:p w14:paraId="312F64EA" w14:textId="77777777" w:rsidR="00391B8D" w:rsidRDefault="00391B8D" w:rsidP="00391B8D">
      <w:pPr>
        <w:pStyle w:val="a3"/>
        <w:numPr>
          <w:ilvl w:val="0"/>
          <w:numId w:val="1"/>
        </w:numPr>
      </w:pPr>
      <w:r>
        <w:t>острые инфекции/декомпенсация любой сопутствующей патологии</w:t>
      </w:r>
    </w:p>
    <w:p w14:paraId="023F1FFB" w14:textId="77777777" w:rsidR="00391B8D" w:rsidRDefault="00391B8D" w:rsidP="00391B8D">
      <w:pPr>
        <w:pStyle w:val="a3"/>
        <w:numPr>
          <w:ilvl w:val="0"/>
          <w:numId w:val="1"/>
        </w:numPr>
      </w:pPr>
      <w:r>
        <w:t>менструация/беременность/лактация;</w:t>
      </w:r>
    </w:p>
    <w:p w14:paraId="4ABA91C9" w14:textId="77777777" w:rsidR="00391B8D" w:rsidRDefault="00391B8D" w:rsidP="00391B8D">
      <w:pPr>
        <w:pStyle w:val="a3"/>
        <w:numPr>
          <w:ilvl w:val="0"/>
          <w:numId w:val="1"/>
        </w:numPr>
      </w:pPr>
      <w:r>
        <w:t>прием эстрогенов</w:t>
      </w:r>
    </w:p>
    <w:p w14:paraId="7277AF4D" w14:textId="77777777" w:rsidR="00391B8D" w:rsidRDefault="00391B8D" w:rsidP="00391B8D">
      <w:pPr>
        <w:pStyle w:val="a3"/>
        <w:numPr>
          <w:ilvl w:val="0"/>
          <w:numId w:val="1"/>
        </w:numPr>
      </w:pPr>
      <w:r>
        <w:t xml:space="preserve">прием ингибиторов АПФ, антагонистов рецепторов ангиотензина II; </w:t>
      </w:r>
    </w:p>
    <w:p w14:paraId="748D014C" w14:textId="77777777" w:rsidR="00391B8D" w:rsidRDefault="00391B8D" w:rsidP="00391B8D">
      <w:pPr>
        <w:pStyle w:val="a3"/>
        <w:numPr>
          <w:ilvl w:val="0"/>
          <w:numId w:val="1"/>
        </w:numPr>
      </w:pPr>
      <w:r>
        <w:t>стресс.</w:t>
      </w:r>
    </w:p>
    <w:p w14:paraId="6077C934" w14:textId="77777777" w:rsidR="00391B8D" w:rsidRDefault="00391B8D" w:rsidP="00391B8D">
      <w:pPr>
        <w:pStyle w:val="Default"/>
      </w:pPr>
    </w:p>
    <w:p w14:paraId="6E6EAED2" w14:textId="77777777" w:rsidR="00391B8D" w:rsidRPr="00391B8D" w:rsidRDefault="00391B8D" w:rsidP="00002A07">
      <w:pPr>
        <w:pStyle w:val="1"/>
      </w:pPr>
      <w:bookmarkStart w:id="4" w:name="_Toc122037638"/>
      <w:r>
        <w:t>Классификация</w:t>
      </w:r>
      <w:bookmarkEnd w:id="4"/>
    </w:p>
    <w:p w14:paraId="2735B3D0" w14:textId="77777777" w:rsidR="00391B8D" w:rsidRPr="00391B8D" w:rsidRDefault="00391B8D" w:rsidP="00002A07">
      <w:pPr>
        <w:pStyle w:val="2"/>
      </w:pPr>
      <w:bookmarkStart w:id="5" w:name="_Toc122037639"/>
      <w:r>
        <w:t>НАО с дефицитом С1-ИНГ.</w:t>
      </w:r>
      <w:bookmarkEnd w:id="5"/>
    </w:p>
    <w:p w14:paraId="5240006A" w14:textId="77777777" w:rsidR="00391B8D" w:rsidRDefault="00391B8D" w:rsidP="00391B8D">
      <w:pPr>
        <w:pStyle w:val="Default"/>
        <w:rPr>
          <w:sz w:val="27"/>
          <w:szCs w:val="27"/>
        </w:rPr>
      </w:pPr>
      <w:r>
        <w:rPr>
          <w:sz w:val="27"/>
          <w:szCs w:val="27"/>
        </w:rPr>
        <w:t>НАО I-го типа обусловлен снижением количества и функциональной активности С1-ИНГ в</w:t>
      </w:r>
      <w:r w:rsidR="0065526A">
        <w:rPr>
          <w:sz w:val="27"/>
          <w:szCs w:val="27"/>
        </w:rPr>
        <w:t xml:space="preserve"> </w:t>
      </w:r>
      <w:r>
        <w:rPr>
          <w:sz w:val="27"/>
          <w:szCs w:val="27"/>
        </w:rPr>
        <w:t>плазме (85% всех случаев НАО) [1].</w:t>
      </w:r>
    </w:p>
    <w:p w14:paraId="7C5CB1C7" w14:textId="77777777" w:rsidR="00391B8D" w:rsidRDefault="00391B8D" w:rsidP="00391B8D">
      <w:pPr>
        <w:pStyle w:val="Default"/>
        <w:rPr>
          <w:sz w:val="27"/>
          <w:szCs w:val="27"/>
        </w:rPr>
      </w:pPr>
      <w:r>
        <w:rPr>
          <w:sz w:val="27"/>
          <w:szCs w:val="27"/>
        </w:rPr>
        <w:t>НАО II-го типа обусловлен снижением функциональной активности С1-ИНГ, при этом</w:t>
      </w:r>
      <w:r w:rsidR="0065526A">
        <w:rPr>
          <w:sz w:val="27"/>
          <w:szCs w:val="27"/>
        </w:rPr>
        <w:t xml:space="preserve"> </w:t>
      </w:r>
      <w:r>
        <w:rPr>
          <w:sz w:val="27"/>
          <w:szCs w:val="27"/>
        </w:rPr>
        <w:t>уровень С1-ИНГ сохраняется в пределах нормы или повышен (15% всех случаев НАО) [1].</w:t>
      </w:r>
    </w:p>
    <w:p w14:paraId="0B1D263E" w14:textId="77777777" w:rsidR="00391B8D" w:rsidRDefault="00391B8D" w:rsidP="00391B8D">
      <w:pPr>
        <w:pStyle w:val="Default"/>
        <w:rPr>
          <w:sz w:val="27"/>
          <w:szCs w:val="27"/>
        </w:rPr>
      </w:pPr>
    </w:p>
    <w:p w14:paraId="7850D13E" w14:textId="77777777" w:rsidR="00391B8D" w:rsidRDefault="00391B8D" w:rsidP="00002A07">
      <w:pPr>
        <w:pStyle w:val="2"/>
      </w:pPr>
      <w:bookmarkStart w:id="6" w:name="_Toc122037640"/>
      <w:r>
        <w:t>НАО без дефицита С1-ИНГ (без патологии системы комплемента):</w:t>
      </w:r>
      <w:bookmarkEnd w:id="6"/>
    </w:p>
    <w:p w14:paraId="4F78249E" w14:textId="77777777" w:rsidR="00391B8D" w:rsidRDefault="00391B8D" w:rsidP="00391B8D">
      <w:pPr>
        <w:pStyle w:val="Default"/>
        <w:rPr>
          <w:sz w:val="27"/>
          <w:szCs w:val="27"/>
        </w:rPr>
      </w:pPr>
      <w:r>
        <w:rPr>
          <w:sz w:val="27"/>
          <w:szCs w:val="27"/>
        </w:rPr>
        <w:t>НАО с мутацией в гене XII фактора свертывания крови (НАО - FXII);</w:t>
      </w:r>
    </w:p>
    <w:p w14:paraId="4F21AD38" w14:textId="77777777" w:rsidR="00391B8D" w:rsidRDefault="00391B8D" w:rsidP="00391B8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НАО с мутацией в гене </w:t>
      </w:r>
      <w:proofErr w:type="spellStart"/>
      <w:r>
        <w:rPr>
          <w:sz w:val="27"/>
          <w:szCs w:val="27"/>
        </w:rPr>
        <w:t>плазминогена</w:t>
      </w:r>
      <w:proofErr w:type="spellEnd"/>
      <w:r>
        <w:rPr>
          <w:sz w:val="27"/>
          <w:szCs w:val="27"/>
        </w:rPr>
        <w:t xml:space="preserve"> (НАО-PLG);</w:t>
      </w:r>
    </w:p>
    <w:p w14:paraId="59FF25CB" w14:textId="77777777" w:rsidR="00391B8D" w:rsidRDefault="00391B8D" w:rsidP="00391B8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НАО с мутацией в гене </w:t>
      </w:r>
      <w:proofErr w:type="spellStart"/>
      <w:r>
        <w:rPr>
          <w:sz w:val="27"/>
          <w:szCs w:val="27"/>
        </w:rPr>
        <w:t>ангиопоэтина</w:t>
      </w:r>
      <w:proofErr w:type="spellEnd"/>
      <w:r>
        <w:rPr>
          <w:sz w:val="27"/>
          <w:szCs w:val="27"/>
        </w:rPr>
        <w:t xml:space="preserve"> 1 (НАО-ANGPT1);</w:t>
      </w:r>
    </w:p>
    <w:p w14:paraId="2C59BE87" w14:textId="77777777" w:rsidR="00391B8D" w:rsidRDefault="00391B8D" w:rsidP="00391B8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НАО с мутацией в гене </w:t>
      </w:r>
      <w:proofErr w:type="spellStart"/>
      <w:r>
        <w:rPr>
          <w:sz w:val="27"/>
          <w:szCs w:val="27"/>
        </w:rPr>
        <w:t>кининогена</w:t>
      </w:r>
      <w:proofErr w:type="spellEnd"/>
      <w:r>
        <w:rPr>
          <w:sz w:val="27"/>
          <w:szCs w:val="27"/>
        </w:rPr>
        <w:t xml:space="preserve"> 1 (НАО – KNG1)</w:t>
      </w:r>
    </w:p>
    <w:p w14:paraId="09EF1C76" w14:textId="77777777" w:rsidR="00391B8D" w:rsidRDefault="00391B8D" w:rsidP="00391B8D">
      <w:pPr>
        <w:pStyle w:val="Defaul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НАО с неизвестной мутацией (UNK-НАО), устанавливается при нормальном уровне С1-ингибитора и его функциональной активности в случае типичной клинической картины в сочетании с положительным семейным анамнезом. </w:t>
      </w:r>
    </w:p>
    <w:p w14:paraId="35237F0F" w14:textId="77777777" w:rsidR="00391B8D" w:rsidRDefault="00391B8D" w:rsidP="00391B8D"/>
    <w:p w14:paraId="2DCE3206" w14:textId="77777777" w:rsidR="00A65C6F" w:rsidRDefault="00A65C6F" w:rsidP="00391B8D"/>
    <w:p w14:paraId="5A61E645" w14:textId="77777777" w:rsidR="00A65C6F" w:rsidRDefault="00A65C6F" w:rsidP="00002A07">
      <w:pPr>
        <w:pStyle w:val="1"/>
      </w:pPr>
      <w:bookmarkStart w:id="7" w:name="_Toc122037641"/>
      <w:r>
        <w:t>Диагностика</w:t>
      </w:r>
      <w:bookmarkEnd w:id="7"/>
    </w:p>
    <w:p w14:paraId="78CBD9F4" w14:textId="77777777" w:rsidR="00391B8D" w:rsidRDefault="00391B8D" w:rsidP="00391B8D">
      <w:pPr>
        <w:pStyle w:val="Default"/>
      </w:pPr>
    </w:p>
    <w:tbl>
      <w:tblPr>
        <w:tblStyle w:val="a4"/>
        <w:tblpPr w:leftFromText="180" w:rightFromText="180" w:vertAnchor="text" w:horzAnchor="page" w:tblpX="1" w:tblpY="472"/>
        <w:tblW w:w="12015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5103"/>
      </w:tblGrid>
      <w:tr w:rsidR="00A65C6F" w14:paraId="5FF03902" w14:textId="77777777" w:rsidTr="00A65C6F">
        <w:tc>
          <w:tcPr>
            <w:tcW w:w="2376" w:type="dxa"/>
          </w:tcPr>
          <w:p w14:paraId="3F754D44" w14:textId="77777777" w:rsid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220BA3" w14:textId="77777777" w:rsidR="00A65C6F" w:rsidRPr="007831DA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3"/>
            </w:tblGrid>
            <w:tr w:rsidR="00A65C6F" w:rsidRPr="007831DA" w14:paraId="1090A035" w14:textId="77777777" w:rsidTr="00A65C6F">
              <w:trPr>
                <w:trHeight w:val="111"/>
              </w:trPr>
              <w:tc>
                <w:tcPr>
                  <w:tcW w:w="2993" w:type="dxa"/>
                </w:tcPr>
                <w:p w14:paraId="3F252F33" w14:textId="77777777" w:rsidR="00A65C6F" w:rsidRPr="007831DA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НАО с дефицитом С1-ингибитора</w:t>
                  </w:r>
                </w:p>
              </w:tc>
            </w:tr>
          </w:tbl>
          <w:p w14:paraId="175EBB37" w14:textId="77777777" w:rsid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40FC08" w14:textId="77777777" w:rsidR="00A65C6F" w:rsidRPr="007831DA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0"/>
            </w:tblGrid>
            <w:tr w:rsidR="00A65C6F" w:rsidRPr="007831DA" w14:paraId="1BFE6181" w14:textId="77777777" w:rsidTr="00A65C6F">
              <w:trPr>
                <w:trHeight w:val="111"/>
              </w:trPr>
              <w:tc>
                <w:tcPr>
                  <w:tcW w:w="3090" w:type="dxa"/>
                </w:tcPr>
                <w:p w14:paraId="60118A95" w14:textId="77777777" w:rsidR="00A65C6F" w:rsidRPr="007831DA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НАО без дефицита С1-Ингибитора</w:t>
                  </w:r>
                </w:p>
              </w:tc>
            </w:tr>
          </w:tbl>
          <w:p w14:paraId="08EF5082" w14:textId="77777777" w:rsid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A65C6F" w14:paraId="05506E32" w14:textId="77777777" w:rsidTr="00A65C6F">
        <w:tc>
          <w:tcPr>
            <w:tcW w:w="2376" w:type="dxa"/>
          </w:tcPr>
          <w:p w14:paraId="1DC7DAE5" w14:textId="77777777" w:rsidR="00A65C6F" w:rsidRPr="007831DA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24"/>
              </w:rPr>
            </w:pPr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>Диагностические критерии для первого обследуемого пациента в семье</w:t>
            </w:r>
          </w:p>
        </w:tc>
        <w:tc>
          <w:tcPr>
            <w:tcW w:w="4536" w:type="dxa"/>
          </w:tcPr>
          <w:p w14:paraId="17253C84" w14:textId="77777777" w:rsid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24"/>
              </w:rPr>
            </w:pPr>
          </w:p>
          <w:p w14:paraId="0A8F45B6" w14:textId="77777777" w:rsid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24"/>
              </w:rPr>
            </w:pPr>
          </w:p>
          <w:p w14:paraId="3571FB9C" w14:textId="77777777" w:rsidR="00A65C6F" w:rsidRPr="007831DA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24"/>
              </w:rPr>
            </w:pPr>
            <w:r w:rsidRPr="007831DA">
              <w:rPr>
                <w:rFonts w:ascii="Verdana" w:hAnsi="Verdana" w:cs="Verdana"/>
                <w:b/>
                <w:color w:val="000000"/>
                <w:sz w:val="16"/>
                <w:szCs w:val="24"/>
              </w:rPr>
              <w:t>≥1 критерия:</w:t>
            </w:r>
          </w:p>
          <w:p w14:paraId="70CE54C1" w14:textId="77777777" w:rsidR="00A65C6F" w:rsidRPr="007831DA" w:rsidRDefault="00A65C6F" w:rsidP="00A65C6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24"/>
              </w:rPr>
            </w:pPr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>Рецидивирующие периферические АО</w:t>
            </w:r>
          </w:p>
          <w:p w14:paraId="36965C16" w14:textId="77777777" w:rsidR="00A65C6F" w:rsidRPr="007831DA" w:rsidRDefault="00A65C6F" w:rsidP="00A65C6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24"/>
              </w:rPr>
            </w:pPr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>Рецидивирующие абдоминальные атаки</w:t>
            </w:r>
          </w:p>
          <w:p w14:paraId="41578817" w14:textId="77777777" w:rsidR="00A65C6F" w:rsidRPr="007831DA" w:rsidRDefault="00A65C6F" w:rsidP="00A65C6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24"/>
              </w:rPr>
            </w:pPr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>АО верхних дыхательных путей</w:t>
            </w:r>
          </w:p>
          <w:p w14:paraId="560CBADD" w14:textId="77777777" w:rsidR="00A65C6F" w:rsidRPr="007831DA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24"/>
              </w:rPr>
            </w:pPr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>Дополнительный критерий: Семейный анамнез</w:t>
            </w:r>
          </w:p>
          <w:p w14:paraId="41698853" w14:textId="77777777" w:rsidR="00A65C6F" w:rsidRPr="007831DA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24"/>
              </w:rPr>
            </w:pPr>
            <w:r w:rsidRPr="007831DA">
              <w:rPr>
                <w:rFonts w:ascii="Verdana" w:hAnsi="Verdana" w:cs="Verdana"/>
                <w:b/>
                <w:color w:val="000000"/>
                <w:sz w:val="16"/>
                <w:szCs w:val="24"/>
              </w:rPr>
              <w:t>И</w:t>
            </w:r>
          </w:p>
          <w:p w14:paraId="089FC268" w14:textId="77777777" w:rsidR="00A65C6F" w:rsidRPr="007831DA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24"/>
              </w:rPr>
            </w:pPr>
            <w:proofErr w:type="spellStart"/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>диагностически</w:t>
            </w:r>
            <w:proofErr w:type="spellEnd"/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 xml:space="preserve"> значимое снижение С1-ИНГ или</w:t>
            </w:r>
            <w:r w:rsidR="0065526A">
              <w:rPr>
                <w:rFonts w:ascii="Verdana" w:hAnsi="Verdana" w:cs="Verdana"/>
                <w:color w:val="000000"/>
                <w:sz w:val="16"/>
                <w:szCs w:val="24"/>
              </w:rPr>
              <w:t xml:space="preserve"> </w:t>
            </w:r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>его функциональной активности (при нормальном</w:t>
            </w:r>
            <w:r w:rsidR="0065526A">
              <w:rPr>
                <w:rFonts w:ascii="Verdana" w:hAnsi="Verdana" w:cs="Verdana"/>
                <w:color w:val="000000"/>
                <w:sz w:val="16"/>
                <w:szCs w:val="24"/>
              </w:rPr>
              <w:t xml:space="preserve"> </w:t>
            </w:r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>или повышенном уровне С1-ИНГ)</w:t>
            </w:r>
          </w:p>
          <w:p w14:paraId="73F1B29F" w14:textId="77777777" w:rsidR="00A65C6F" w:rsidRPr="007831DA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24"/>
              </w:rPr>
            </w:pPr>
            <w:r w:rsidRPr="007831DA">
              <w:rPr>
                <w:rFonts w:ascii="Verdana" w:hAnsi="Verdana" w:cs="Verdana"/>
                <w:b/>
                <w:color w:val="000000"/>
                <w:sz w:val="16"/>
                <w:szCs w:val="24"/>
              </w:rPr>
              <w:t>И ≥ 1 критерия:</w:t>
            </w:r>
          </w:p>
          <w:p w14:paraId="1A5E695D" w14:textId="77777777" w:rsidR="00A65C6F" w:rsidRPr="007831DA" w:rsidRDefault="00A65C6F" w:rsidP="00A65C6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24"/>
              </w:rPr>
            </w:pPr>
            <w:proofErr w:type="spellStart"/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>диагностически</w:t>
            </w:r>
            <w:proofErr w:type="spellEnd"/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 xml:space="preserve"> значимое снижение С1-ИНГили его функциональной активности (</w:t>
            </w:r>
            <w:proofErr w:type="spellStart"/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>принормальном</w:t>
            </w:r>
            <w:proofErr w:type="spellEnd"/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 xml:space="preserve"> или повышенном уровне С1-</w:t>
            </w:r>
            <w:proofErr w:type="gramStart"/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>ИНГ)при</w:t>
            </w:r>
            <w:proofErr w:type="gramEnd"/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 xml:space="preserve"> повторном исследовании</w:t>
            </w:r>
          </w:p>
          <w:p w14:paraId="32FCC1F8" w14:textId="77777777" w:rsidR="00A65C6F" w:rsidRPr="007831DA" w:rsidRDefault="00A65C6F" w:rsidP="00A65C6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24"/>
              </w:rPr>
            </w:pPr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 xml:space="preserve">выявление причинно-значимой мутации </w:t>
            </w:r>
            <w:proofErr w:type="spellStart"/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>сдоказанной</w:t>
            </w:r>
            <w:proofErr w:type="spellEnd"/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 xml:space="preserve"> патогенностью в гене</w:t>
            </w:r>
          </w:p>
          <w:p w14:paraId="25AA0EE1" w14:textId="77777777" w:rsidR="00A65C6F" w:rsidRPr="007831DA" w:rsidRDefault="00A65C6F" w:rsidP="00A65C6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24"/>
              </w:rPr>
            </w:pPr>
            <w:r w:rsidRPr="007831DA">
              <w:rPr>
                <w:rFonts w:ascii="Verdana" w:hAnsi="Verdana" w:cs="Verdana"/>
                <w:color w:val="000000"/>
                <w:sz w:val="16"/>
                <w:szCs w:val="24"/>
              </w:rPr>
              <w:t>SERPING1</w:t>
            </w:r>
          </w:p>
        </w:tc>
        <w:tc>
          <w:tcPr>
            <w:tcW w:w="5103" w:type="dxa"/>
          </w:tcPr>
          <w:p w14:paraId="080981AB" w14:textId="77777777" w:rsidR="00A65C6F" w:rsidRPr="007831DA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76"/>
            </w:tblGrid>
            <w:tr w:rsidR="00A65C6F" w:rsidRPr="007831DA" w14:paraId="168C835A" w14:textId="77777777" w:rsidTr="00A65C6F">
              <w:trPr>
                <w:trHeight w:val="2859"/>
              </w:trPr>
              <w:tc>
                <w:tcPr>
                  <w:tcW w:w="3776" w:type="dxa"/>
                </w:tcPr>
                <w:p w14:paraId="6FC02BE0" w14:textId="77777777" w:rsidR="00A65C6F" w:rsidRPr="007831DA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831DA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≥1 критерия:</w:t>
                  </w:r>
                </w:p>
                <w:p w14:paraId="3A601767" w14:textId="77777777" w:rsidR="00A65C6F" w:rsidRPr="007831DA" w:rsidRDefault="00A65C6F" w:rsidP="00637BFE">
                  <w:pPr>
                    <w:pStyle w:val="a3"/>
                    <w:framePr w:hSpace="180" w:wrap="around" w:vAnchor="text" w:hAnchor="page" w:x="1" w:y="472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Рецидивирующие периферические</w:t>
                  </w:r>
                  <w:r w:rsidR="0065526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АО</w:t>
                  </w:r>
                </w:p>
                <w:p w14:paraId="136E9AF8" w14:textId="77777777" w:rsidR="00A65C6F" w:rsidRPr="007831DA" w:rsidRDefault="00A65C6F" w:rsidP="00637BFE">
                  <w:pPr>
                    <w:pStyle w:val="a3"/>
                    <w:framePr w:hSpace="180" w:wrap="around" w:vAnchor="text" w:hAnchor="page" w:x="1" w:y="472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Рецидивирующие абдоминальные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атаки</w:t>
                  </w:r>
                </w:p>
                <w:p w14:paraId="153BD9B0" w14:textId="77777777" w:rsidR="00A65C6F" w:rsidRPr="007831DA" w:rsidRDefault="00A65C6F" w:rsidP="00637BFE">
                  <w:pPr>
                    <w:pStyle w:val="a3"/>
                    <w:framePr w:hSpace="180" w:wrap="around" w:vAnchor="text" w:hAnchor="page" w:x="1" w:y="472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АО верхних дыхательных путей</w:t>
                  </w:r>
                </w:p>
                <w:p w14:paraId="341AF441" w14:textId="77777777" w:rsidR="00A65C6F" w:rsidRPr="007831DA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  <w:p w14:paraId="091927C0" w14:textId="77777777" w:rsidR="00A65C6F" w:rsidRPr="007831DA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Дополнительный критерий: Семейный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анамнез</w:t>
                  </w:r>
                </w:p>
                <w:p w14:paraId="2516A4D4" w14:textId="77777777" w:rsidR="00A65C6F" w:rsidRPr="007831DA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831DA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И</w:t>
                  </w:r>
                </w:p>
                <w:p w14:paraId="70BE15B4" w14:textId="77777777" w:rsidR="00A65C6F" w:rsidRPr="007831DA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Уровень С1-ИНГ и его функциональной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активности в двух исследованиях не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снижены, или их снижение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диагностически</w:t>
                  </w:r>
                  <w:proofErr w:type="spellEnd"/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незначимо.</w:t>
                  </w:r>
                </w:p>
                <w:p w14:paraId="47539F8A" w14:textId="77777777" w:rsidR="00A65C6F" w:rsidRPr="007831DA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831DA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И ≥ 1 критерия:</w:t>
                  </w:r>
                </w:p>
                <w:p w14:paraId="6E1C426D" w14:textId="77777777" w:rsidR="00A65C6F" w:rsidRPr="007831DA" w:rsidRDefault="00A65C6F" w:rsidP="00637BFE">
                  <w:pPr>
                    <w:pStyle w:val="a3"/>
                    <w:framePr w:hSpace="180" w:wrap="around" w:vAnchor="text" w:hAnchor="page" w:x="1" w:y="472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наличие семейного анамнеза</w:t>
                  </w:r>
                </w:p>
                <w:p w14:paraId="4D2D52DF" w14:textId="77777777" w:rsidR="00A65C6F" w:rsidRPr="007831DA" w:rsidRDefault="00A65C6F" w:rsidP="00637BFE">
                  <w:pPr>
                    <w:pStyle w:val="a3"/>
                    <w:framePr w:hSpace="180" w:wrap="around" w:vAnchor="text" w:hAnchor="page" w:x="1" w:y="472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выявление причинно-значимой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мутации с доказанной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патогенностью в одном из </w:t>
                  </w:r>
                  <w:proofErr w:type="spellStart"/>
                  <w:proofErr w:type="gramStart"/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генов:плазминогена</w:t>
                  </w:r>
                  <w:proofErr w:type="spellEnd"/>
                  <w:proofErr w:type="gramEnd"/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, XII фактора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831D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свёртывания крови, ангипоэтина-1. </w:t>
                  </w:r>
                </w:p>
                <w:p w14:paraId="5ED117D7" w14:textId="77777777" w:rsidR="00A65C6F" w:rsidRPr="007831DA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797CAEB" w14:textId="77777777" w:rsid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A65C6F" w14:paraId="129FD3AE" w14:textId="77777777" w:rsidTr="00A65C6F">
        <w:tc>
          <w:tcPr>
            <w:tcW w:w="2376" w:type="dxa"/>
          </w:tcPr>
          <w:p w14:paraId="79A018F3" w14:textId="77777777" w:rsidR="00A65C6F" w:rsidRPr="007831DA" w:rsidRDefault="00A65C6F" w:rsidP="00A65C6F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7831DA">
              <w:rPr>
                <w:rFonts w:ascii="Verdana" w:hAnsi="Verdana" w:cs="Verdana"/>
                <w:sz w:val="18"/>
                <w:szCs w:val="18"/>
              </w:rPr>
              <w:t>Диагностические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7831DA">
              <w:rPr>
                <w:rFonts w:ascii="Verdana" w:hAnsi="Verdana" w:cs="Verdana"/>
                <w:sz w:val="18"/>
                <w:szCs w:val="18"/>
              </w:rPr>
              <w:t>критерии для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7831DA">
              <w:rPr>
                <w:rFonts w:ascii="Verdana" w:hAnsi="Verdana" w:cs="Verdana"/>
                <w:sz w:val="18"/>
                <w:szCs w:val="18"/>
              </w:rPr>
              <w:t>пациентов с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7831DA">
              <w:rPr>
                <w:rFonts w:ascii="Verdana" w:hAnsi="Verdana" w:cs="Verdana"/>
                <w:sz w:val="18"/>
                <w:szCs w:val="18"/>
              </w:rPr>
              <w:t>клиническими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7831DA">
              <w:rPr>
                <w:rFonts w:ascii="Verdana" w:hAnsi="Verdana" w:cs="Verdana"/>
                <w:sz w:val="18"/>
                <w:szCs w:val="18"/>
              </w:rPr>
              <w:t>проявлениями НАО, у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7831DA">
              <w:rPr>
                <w:rFonts w:ascii="Verdana" w:hAnsi="Verdana" w:cs="Verdana"/>
                <w:sz w:val="18"/>
                <w:szCs w:val="18"/>
              </w:rPr>
              <w:t>которых есть член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7831DA">
              <w:rPr>
                <w:rFonts w:ascii="Verdana" w:hAnsi="Verdana" w:cs="Verdana"/>
                <w:sz w:val="18"/>
                <w:szCs w:val="18"/>
              </w:rPr>
              <w:t>семьи с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7831DA">
              <w:rPr>
                <w:rFonts w:ascii="Verdana" w:hAnsi="Verdana" w:cs="Verdana"/>
                <w:sz w:val="18"/>
                <w:szCs w:val="18"/>
              </w:rPr>
              <w:t>подтвержденным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A65C6F">
              <w:rPr>
                <w:rFonts w:ascii="Verdana" w:hAnsi="Verdana" w:cs="Verdana"/>
                <w:sz w:val="18"/>
                <w:szCs w:val="18"/>
              </w:rPr>
              <w:t>диагнозом НАО и установленным типом</w:t>
            </w:r>
          </w:p>
          <w:tbl>
            <w:tblPr>
              <w:tblW w:w="36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6"/>
            </w:tblGrid>
            <w:tr w:rsidR="00A65C6F" w:rsidRPr="007831DA" w14:paraId="6B4AAE38" w14:textId="77777777" w:rsidTr="00A65C6F">
              <w:trPr>
                <w:trHeight w:val="194"/>
              </w:trPr>
              <w:tc>
                <w:tcPr>
                  <w:tcW w:w="3686" w:type="dxa"/>
                </w:tcPr>
                <w:p w14:paraId="0DEA299A" w14:textId="77777777" w:rsidR="00A65C6F" w:rsidRPr="007831DA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B0A79CE" w14:textId="77777777" w:rsid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EF9732" w14:textId="77777777" w:rsid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24"/>
              </w:rPr>
            </w:pPr>
          </w:p>
          <w:p w14:paraId="41883E51" w14:textId="77777777" w:rsid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24"/>
              </w:rPr>
            </w:pPr>
          </w:p>
          <w:p w14:paraId="22CB8B82" w14:textId="77777777" w:rsidR="00A65C6F" w:rsidRP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24"/>
              </w:rPr>
            </w:pPr>
            <w:r w:rsidRPr="00A65C6F">
              <w:rPr>
                <w:rFonts w:ascii="Verdana" w:hAnsi="Verdana" w:cs="Verdana"/>
                <w:b/>
                <w:color w:val="000000"/>
                <w:sz w:val="16"/>
                <w:szCs w:val="24"/>
              </w:rPr>
              <w:t>У пациента есть родственник с подтвержденным диагнозом НАО и установленным типом</w:t>
            </w:r>
          </w:p>
          <w:p w14:paraId="75B3CB25" w14:textId="77777777" w:rsidR="00A65C6F" w:rsidRP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24"/>
              </w:rPr>
            </w:pPr>
            <w:r w:rsidRPr="00A65C6F">
              <w:rPr>
                <w:rFonts w:ascii="Verdana" w:hAnsi="Verdana" w:cs="Verdana"/>
                <w:b/>
                <w:color w:val="000000"/>
                <w:sz w:val="16"/>
                <w:szCs w:val="24"/>
              </w:rPr>
              <w:t>≥1 критерия:</w:t>
            </w:r>
          </w:p>
          <w:p w14:paraId="0D85513E" w14:textId="77777777" w:rsidR="00A65C6F" w:rsidRPr="00A65C6F" w:rsidRDefault="00A65C6F" w:rsidP="00A65C6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65C6F">
              <w:rPr>
                <w:rFonts w:ascii="Verdana" w:hAnsi="Verdana" w:cs="Verdana"/>
                <w:color w:val="000000"/>
                <w:sz w:val="16"/>
                <w:szCs w:val="24"/>
              </w:rPr>
              <w:t xml:space="preserve">Рецидивирующие АО </w:t>
            </w:r>
            <w:r w:rsidRPr="00A65C6F">
              <w:rPr>
                <w:rFonts w:ascii="Verdana" w:hAnsi="Verdana" w:cs="Verdana"/>
                <w:color w:val="000000"/>
                <w:sz w:val="16"/>
                <w:szCs w:val="16"/>
              </w:rPr>
              <w:t>Рецидивирующие абдоминальные атаки</w:t>
            </w:r>
          </w:p>
          <w:p w14:paraId="4E8A624F" w14:textId="77777777" w:rsidR="00A65C6F" w:rsidRPr="00A65C6F" w:rsidRDefault="00A65C6F" w:rsidP="00A65C6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65C6F">
              <w:rPr>
                <w:rFonts w:ascii="Verdana" w:hAnsi="Verdana" w:cs="Verdana"/>
                <w:color w:val="000000"/>
                <w:sz w:val="16"/>
                <w:szCs w:val="16"/>
              </w:rPr>
              <w:t>АО верхних дыхательных путей</w:t>
            </w:r>
          </w:p>
          <w:p w14:paraId="2DEA3FAD" w14:textId="77777777" w:rsidR="00A65C6F" w:rsidRP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0E99948F" w14:textId="77777777" w:rsidR="00A65C6F" w:rsidRP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65C6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И ≥ 1 критерия:</w:t>
            </w:r>
          </w:p>
          <w:p w14:paraId="34E4FB15" w14:textId="77777777" w:rsidR="00A65C6F" w:rsidRPr="00A65C6F" w:rsidRDefault="00A65C6F" w:rsidP="00A65C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A65C6F">
              <w:rPr>
                <w:rFonts w:ascii="Verdana" w:hAnsi="Verdana" w:cs="Verdana"/>
                <w:color w:val="000000"/>
                <w:sz w:val="16"/>
                <w:szCs w:val="16"/>
              </w:rPr>
              <w:t>диагностически</w:t>
            </w:r>
            <w:proofErr w:type="spellEnd"/>
            <w:r w:rsidRPr="00A65C6F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значимое снижение С1-ИНГ- или его функциональной активности (при</w:t>
            </w:r>
            <w:r w:rsidR="0065526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A65C6F">
              <w:rPr>
                <w:rFonts w:ascii="Verdana" w:hAnsi="Verdana" w:cs="Verdana"/>
                <w:color w:val="000000"/>
                <w:sz w:val="16"/>
                <w:szCs w:val="16"/>
              </w:rPr>
              <w:t>нормальном или повышенном уровне С1-ИНГ)</w:t>
            </w:r>
          </w:p>
          <w:p w14:paraId="4F8112E5" w14:textId="77777777" w:rsidR="00A65C6F" w:rsidRP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25BEB2DC" w14:textId="77777777" w:rsidR="00A65C6F" w:rsidRPr="00A65C6F" w:rsidRDefault="00A65C6F" w:rsidP="00A65C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65C6F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выявление причинно-значимой мутации с доказанной патогенностью в гене </w:t>
            </w:r>
            <w:r w:rsidRPr="00A65C6F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SERPING1</w:t>
            </w:r>
            <w:r w:rsidRPr="00A65C6F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(как у родственника) </w:t>
            </w:r>
          </w:p>
        </w:tc>
        <w:tc>
          <w:tcPr>
            <w:tcW w:w="5103" w:type="dxa"/>
          </w:tcPr>
          <w:p w14:paraId="1FE06955" w14:textId="77777777" w:rsidR="00A65C6F" w:rsidRP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4"/>
            </w:tblGrid>
            <w:tr w:rsidR="00A65C6F" w:rsidRPr="00A65C6F" w14:paraId="1CB5CE19" w14:textId="77777777">
              <w:trPr>
                <w:trHeight w:val="496"/>
              </w:trPr>
              <w:tc>
                <w:tcPr>
                  <w:tcW w:w="3414" w:type="dxa"/>
                </w:tcPr>
                <w:p w14:paraId="7F359953" w14:textId="77777777" w:rsidR="00A65C6F" w:rsidRPr="00A65C6F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A65C6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У пациента есть родственник с</w:t>
                  </w:r>
                  <w:r w:rsidR="0065526A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65C6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подтвержденным диагнозом НАО</w:t>
                  </w:r>
                  <w:r w:rsidR="0065526A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65C6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без дефицита С1-ингибитора</w:t>
                  </w:r>
                </w:p>
                <w:p w14:paraId="4647EEE0" w14:textId="77777777" w:rsidR="00A65C6F" w:rsidRPr="00A65C6F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A65C6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≥1 критерия:</w:t>
                  </w:r>
                </w:p>
                <w:p w14:paraId="50A3EC9A" w14:textId="77777777" w:rsidR="00A65C6F" w:rsidRPr="00A65C6F" w:rsidRDefault="00A65C6F" w:rsidP="00637BFE">
                  <w:pPr>
                    <w:pStyle w:val="a3"/>
                    <w:framePr w:hSpace="180" w:wrap="around" w:vAnchor="text" w:hAnchor="page" w:x="1" w:y="472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Рецидивирующие </w:t>
                  </w:r>
                  <w:proofErr w:type="gramStart"/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АО  Рецидивирующие</w:t>
                  </w:r>
                  <w:proofErr w:type="gramEnd"/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абдоминальные атаки</w:t>
                  </w:r>
                </w:p>
                <w:p w14:paraId="3BB8B8FF" w14:textId="77777777" w:rsidR="00A65C6F" w:rsidRPr="00A65C6F" w:rsidRDefault="00A65C6F" w:rsidP="00637BFE">
                  <w:pPr>
                    <w:pStyle w:val="a3"/>
                    <w:framePr w:hSpace="180" w:wrap="around" w:vAnchor="text" w:hAnchor="page" w:x="1" w:y="472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АО верхних дыхательных путей</w:t>
                  </w:r>
                </w:p>
                <w:p w14:paraId="389DDB70" w14:textId="77777777" w:rsidR="00A65C6F" w:rsidRPr="00A65C6F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  <w:p w14:paraId="1AF8387F" w14:textId="77777777" w:rsidR="00A65C6F" w:rsidRPr="00A65C6F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A65C6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И (только для родственников</w:t>
                  </w:r>
                  <w:r w:rsidR="0065526A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65C6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пациентов, у которых выявлена</w:t>
                  </w:r>
                  <w:r w:rsidR="0065526A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65C6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мутация)</w:t>
                  </w:r>
                </w:p>
                <w:p w14:paraId="3F9C2DB0" w14:textId="77777777" w:rsidR="00A65C6F" w:rsidRPr="00A65C6F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выявление причинно-значимой</w:t>
                  </w:r>
                  <w:r w:rsidR="0065526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мутации с доказанной патогенностью водном из генов (как у родственника</w:t>
                  </w:r>
                  <w:proofErr w:type="gramStart"/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):</w:t>
                  </w:r>
                  <w:proofErr w:type="spellStart"/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плазминогена</w:t>
                  </w:r>
                  <w:proofErr w:type="spellEnd"/>
                  <w:proofErr w:type="gramEnd"/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, XII фактора</w:t>
                  </w:r>
                  <w:r w:rsidR="0065526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свёртывания крови, ангипоэтина-1.</w:t>
                  </w:r>
                </w:p>
                <w:p w14:paraId="659192B3" w14:textId="77777777" w:rsidR="00A65C6F" w:rsidRPr="00A65C6F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5B04C3C" w14:textId="77777777" w:rsidR="00A65C6F" w:rsidRP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1"/>
            </w:tblGrid>
            <w:tr w:rsidR="00A65C6F" w:rsidRPr="00A65C6F" w14:paraId="4EC6B854" w14:textId="77777777">
              <w:trPr>
                <w:trHeight w:val="1222"/>
              </w:trPr>
              <w:tc>
                <w:tcPr>
                  <w:tcW w:w="3421" w:type="dxa"/>
                </w:tcPr>
                <w:p w14:paraId="57694148" w14:textId="77777777" w:rsidR="00A65C6F" w:rsidRPr="00A65C6F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14:paraId="7BFA5CCA" w14:textId="77777777" w:rsidR="00A65C6F" w:rsidRPr="00A65C6F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89A4D9A" w14:textId="77777777" w:rsid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A65C6F" w14:paraId="178EDA74" w14:textId="77777777" w:rsidTr="00A65C6F">
        <w:tc>
          <w:tcPr>
            <w:tcW w:w="2376" w:type="dxa"/>
          </w:tcPr>
          <w:p w14:paraId="18887FAC" w14:textId="77777777" w:rsidR="00A65C6F" w:rsidRP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9"/>
            </w:tblGrid>
            <w:tr w:rsidR="00A65C6F" w:rsidRPr="00A65C6F" w14:paraId="7A40E1D1" w14:textId="77777777">
              <w:trPr>
                <w:trHeight w:val="854"/>
              </w:trPr>
              <w:tc>
                <w:tcPr>
                  <w:tcW w:w="2069" w:type="dxa"/>
                </w:tcPr>
                <w:p w14:paraId="4796AB92" w14:textId="77777777" w:rsidR="00A65C6F" w:rsidRPr="00A65C6F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Диагностические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критерии для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пациентов без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клинических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проявлений </w:t>
                  </w:r>
                  <w:proofErr w:type="gramStart"/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НАО(</w:t>
                  </w:r>
                  <w:proofErr w:type="gramEnd"/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до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клиническая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стадия), у которых есть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член семьи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с  </w:t>
                  </w: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подтвержденным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диагнозом НАО</w:t>
                  </w:r>
                </w:p>
              </w:tc>
            </w:tr>
          </w:tbl>
          <w:p w14:paraId="262410B4" w14:textId="77777777" w:rsid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A193F2" w14:textId="77777777" w:rsidR="00963D1F" w:rsidRPr="00963D1F" w:rsidRDefault="00963D1F" w:rsidP="00963D1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4"/>
            </w:tblGrid>
            <w:tr w:rsidR="00963D1F" w:rsidRPr="00963D1F" w14:paraId="1893FA03" w14:textId="77777777">
              <w:trPr>
                <w:trHeight w:val="1554"/>
              </w:trPr>
              <w:tc>
                <w:tcPr>
                  <w:tcW w:w="4394" w:type="dxa"/>
                </w:tcPr>
                <w:p w14:paraId="61B57A7C" w14:textId="77777777" w:rsidR="00963D1F" w:rsidRPr="00963D1F" w:rsidRDefault="00963D1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963D1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У пациента есть родственник (кровный) с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63D1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подтвержденным диагнозом НАО с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63D1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дефицитом С1-ингибитора и установленным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63D1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типом</w:t>
                  </w:r>
                </w:p>
                <w:p w14:paraId="0A28E382" w14:textId="77777777" w:rsidR="00963D1F" w:rsidRPr="00963D1F" w:rsidRDefault="00963D1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963D1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И ≥ 1 критерия:</w:t>
                  </w:r>
                </w:p>
                <w:p w14:paraId="5DAC9A63" w14:textId="77777777" w:rsidR="00963D1F" w:rsidRPr="00963D1F" w:rsidRDefault="00963D1F" w:rsidP="00637BFE">
                  <w:pPr>
                    <w:pStyle w:val="a3"/>
                    <w:framePr w:hSpace="180" w:wrap="around" w:vAnchor="text" w:hAnchor="page" w:x="1" w:y="472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963D1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диагностически</w:t>
                  </w:r>
                  <w:proofErr w:type="spellEnd"/>
                  <w:r w:rsidRPr="00963D1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значимое снижение С1-ИНГили его функциональной активности (</w:t>
                  </w:r>
                  <w:proofErr w:type="spellStart"/>
                  <w:r w:rsidRPr="00963D1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принормальном</w:t>
                  </w:r>
                  <w:proofErr w:type="spellEnd"/>
                  <w:r w:rsidRPr="00963D1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или повышенном уровне С1-ИНГ)</w:t>
                  </w:r>
                </w:p>
                <w:p w14:paraId="41ABAF97" w14:textId="77777777" w:rsidR="00963D1F" w:rsidRPr="00963D1F" w:rsidRDefault="00963D1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  <w:p w14:paraId="727C15B6" w14:textId="77777777" w:rsidR="00963D1F" w:rsidRPr="00963D1F" w:rsidRDefault="00963D1F" w:rsidP="00637BFE">
                  <w:pPr>
                    <w:pStyle w:val="a3"/>
                    <w:framePr w:hSpace="180" w:wrap="around" w:vAnchor="text" w:hAnchor="page" w:x="1" w:y="472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963D1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выявление причинно-значимой мутации с</w:t>
                  </w:r>
                  <w:r w:rsidR="0065526A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63D1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доказанной патогенностью в гене </w:t>
                  </w:r>
                  <w:r w:rsidRPr="00963D1F">
                    <w:rPr>
                      <w:rFonts w:ascii="Verdana" w:hAnsi="Verdana" w:cs="Verdana"/>
                      <w:i/>
                      <w:iCs/>
                      <w:color w:val="000000"/>
                      <w:sz w:val="16"/>
                      <w:szCs w:val="16"/>
                    </w:rPr>
                    <w:t>SERPING1</w:t>
                  </w:r>
                  <w:r w:rsidRPr="00963D1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(как у родственника) </w:t>
                  </w:r>
                </w:p>
                <w:p w14:paraId="1D59C980" w14:textId="77777777" w:rsidR="00963D1F" w:rsidRPr="00963D1F" w:rsidRDefault="00963D1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FEAF5A4" w14:textId="77777777" w:rsid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DE8963" w14:textId="77777777" w:rsidR="00A65C6F" w:rsidRP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4"/>
            </w:tblGrid>
            <w:tr w:rsidR="00A65C6F" w:rsidRPr="00A65C6F" w14:paraId="0CD40008" w14:textId="77777777">
              <w:trPr>
                <w:trHeight w:val="1102"/>
              </w:trPr>
              <w:tc>
                <w:tcPr>
                  <w:tcW w:w="3414" w:type="dxa"/>
                </w:tcPr>
                <w:p w14:paraId="3B49A210" w14:textId="77777777" w:rsidR="00A65C6F" w:rsidRPr="00A65C6F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Только для родственников </w:t>
                  </w:r>
                  <w:r w:rsidR="00963D1F"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пациентов, у</w:t>
                  </w:r>
                  <w:r w:rsidRPr="00A65C6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которых выявлена мутация. </w:t>
                  </w:r>
                </w:p>
                <w:p w14:paraId="12DB0679" w14:textId="77777777" w:rsidR="00A65C6F" w:rsidRPr="00A65C6F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A65C6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У пациента есть родственник с</w:t>
                  </w:r>
                  <w:r w:rsidR="00963D1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65C6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подтвержденным диагнозом НАО</w:t>
                  </w:r>
                  <w:r w:rsidR="00963D1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65C6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без дефицита С1-ингибитора </w:t>
                  </w:r>
                </w:p>
                <w:p w14:paraId="77940E72" w14:textId="77777777" w:rsidR="00A65C6F" w:rsidRPr="00A65C6F" w:rsidRDefault="00A65C6F" w:rsidP="00637BFE">
                  <w:pPr>
                    <w:framePr w:hSpace="180" w:wrap="around" w:vAnchor="text" w:hAnchor="page" w:x="1" w:y="4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A65C6F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И</w:t>
                  </w:r>
                </w:p>
                <w:p w14:paraId="05FB17FD" w14:textId="77777777" w:rsidR="00A65C6F" w:rsidRPr="00963D1F" w:rsidRDefault="00A65C6F" w:rsidP="00637BFE">
                  <w:pPr>
                    <w:pStyle w:val="a3"/>
                    <w:framePr w:hSpace="180" w:wrap="around" w:vAnchor="text" w:hAnchor="page" w:x="1" w:y="472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963D1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выявление причинно-значимой</w:t>
                  </w:r>
                  <w:r w:rsidR="00963D1F" w:rsidRPr="00963D1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63D1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мутации с доказанной патогенностью водном из генов (как у родственника</w:t>
                  </w:r>
                  <w:proofErr w:type="gramStart"/>
                  <w:r w:rsidRPr="00963D1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):</w:t>
                  </w:r>
                  <w:proofErr w:type="spellStart"/>
                  <w:r w:rsidRPr="00963D1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плазминогена</w:t>
                  </w:r>
                  <w:proofErr w:type="spellEnd"/>
                  <w:proofErr w:type="gramEnd"/>
                  <w:r w:rsidRPr="00963D1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, XII фактора</w:t>
                  </w:r>
                  <w:r w:rsidR="00963D1F" w:rsidRPr="00963D1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63D1F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свёртывания крови, ангипоэтина-1.</w:t>
                  </w:r>
                </w:p>
              </w:tc>
            </w:tr>
          </w:tbl>
          <w:p w14:paraId="3C11F272" w14:textId="77777777" w:rsidR="00A65C6F" w:rsidRDefault="00A65C6F" w:rsidP="00A65C6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</w:tbl>
    <w:p w14:paraId="5E5F6237" w14:textId="77777777" w:rsidR="00E739F0" w:rsidRPr="00E739F0" w:rsidRDefault="00E739F0" w:rsidP="00E739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0C47BC2A" w14:textId="77777777" w:rsidR="00E739F0" w:rsidRPr="00E739F0" w:rsidRDefault="00E739F0" w:rsidP="00E739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370A451D" w14:textId="77777777" w:rsidR="00963D1F" w:rsidRPr="00963D1F" w:rsidRDefault="00963D1F" w:rsidP="00963D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63D1F">
        <w:rPr>
          <w:rFonts w:ascii="Verdana" w:hAnsi="Verdana" w:cs="Verdana"/>
          <w:color w:val="000000"/>
          <w:sz w:val="24"/>
          <w:szCs w:val="24"/>
        </w:rPr>
        <w:t>Всем пациентам-пробандам с подозрением на НАО рекомендуется проведение двукратного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963D1F">
        <w:rPr>
          <w:rFonts w:ascii="Verdana" w:hAnsi="Verdana" w:cs="Verdana"/>
          <w:color w:val="000000"/>
          <w:sz w:val="24"/>
          <w:szCs w:val="24"/>
        </w:rPr>
        <w:t>исследования уровня С1-ингибитора в крови и функциональной активности С1-ингибитора в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963D1F">
        <w:rPr>
          <w:rFonts w:ascii="Verdana" w:hAnsi="Verdana" w:cs="Verdana"/>
          <w:color w:val="000000"/>
          <w:sz w:val="24"/>
          <w:szCs w:val="24"/>
        </w:rPr>
        <w:t>крови или исследования уровня С1-ингибитора в крови и функциональной активности С1-ингибитора в крови в сочетании с проведением молекулярно-генетического исследования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963D1F">
        <w:rPr>
          <w:rFonts w:ascii="Verdana" w:hAnsi="Verdana" w:cs="Verdana"/>
          <w:color w:val="000000"/>
          <w:sz w:val="24"/>
          <w:szCs w:val="24"/>
        </w:rPr>
        <w:t>мутаций в гене</w:t>
      </w:r>
    </w:p>
    <w:p w14:paraId="200A49AC" w14:textId="77777777" w:rsidR="00E739F0" w:rsidRPr="00E739F0" w:rsidRDefault="00963D1F" w:rsidP="00963D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SERPING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 xml:space="preserve">1  </w:t>
      </w:r>
      <w:r w:rsidRPr="00963D1F">
        <w:rPr>
          <w:rFonts w:ascii="Verdana" w:hAnsi="Verdana" w:cs="Verdana"/>
          <w:color w:val="000000"/>
          <w:sz w:val="24"/>
          <w:szCs w:val="24"/>
        </w:rPr>
        <w:t>в</w:t>
      </w:r>
      <w:proofErr w:type="gramEnd"/>
      <w:r w:rsidRPr="00963D1F">
        <w:rPr>
          <w:rFonts w:ascii="Verdana" w:hAnsi="Verdana" w:cs="Verdana"/>
          <w:color w:val="000000"/>
          <w:sz w:val="24"/>
          <w:szCs w:val="24"/>
        </w:rPr>
        <w:t xml:space="preserve"> крови методами секвенирования и количественной MLPA для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963D1F">
        <w:rPr>
          <w:rFonts w:ascii="Verdana" w:hAnsi="Verdana" w:cs="Verdana"/>
          <w:color w:val="000000"/>
          <w:sz w:val="24"/>
          <w:szCs w:val="24"/>
        </w:rPr>
        <w:t>подтверждения диагноза НАО I или II типа</w:t>
      </w:r>
      <w:r>
        <w:rPr>
          <w:rFonts w:ascii="Verdana" w:hAnsi="Verdana" w:cs="Verdana"/>
          <w:color w:val="000000"/>
          <w:sz w:val="24"/>
          <w:szCs w:val="24"/>
        </w:rPr>
        <w:t>.</w:t>
      </w:r>
    </w:p>
    <w:p w14:paraId="45B900AF" w14:textId="77777777" w:rsidR="0065526A" w:rsidRDefault="0065526A" w:rsidP="0065526A">
      <w:pPr>
        <w:pStyle w:val="Default"/>
      </w:pPr>
    </w:p>
    <w:p w14:paraId="655C1210" w14:textId="77777777" w:rsidR="0065526A" w:rsidRDefault="0065526A" w:rsidP="00002A07">
      <w:pPr>
        <w:pStyle w:val="1"/>
      </w:pPr>
      <w:bookmarkStart w:id="8" w:name="_Toc122037642"/>
      <w:r>
        <w:t>Лечение</w:t>
      </w:r>
      <w:bookmarkEnd w:id="8"/>
    </w:p>
    <w:p w14:paraId="182DDD83" w14:textId="77777777" w:rsidR="0065526A" w:rsidRDefault="0065526A" w:rsidP="0065526A">
      <w:pPr>
        <w:pStyle w:val="Default"/>
        <w:rPr>
          <w:sz w:val="48"/>
          <w:szCs w:val="48"/>
        </w:rPr>
      </w:pPr>
    </w:p>
    <w:p w14:paraId="32979B12" w14:textId="77777777" w:rsidR="0065526A" w:rsidRDefault="0065526A" w:rsidP="0065526A">
      <w:pPr>
        <w:pStyle w:val="Default"/>
        <w:numPr>
          <w:ilvl w:val="0"/>
          <w:numId w:val="11"/>
        </w:numPr>
        <w:rPr>
          <w:sz w:val="27"/>
          <w:szCs w:val="27"/>
        </w:rPr>
      </w:pPr>
      <w:r>
        <w:rPr>
          <w:sz w:val="27"/>
          <w:szCs w:val="27"/>
        </w:rPr>
        <w:t>Терапия НАО состоит из трех основных компонентов (таблица 4):</w:t>
      </w:r>
    </w:p>
    <w:p w14:paraId="7D24C904" w14:textId="77777777" w:rsidR="0065526A" w:rsidRDefault="0065526A" w:rsidP="0065526A">
      <w:pPr>
        <w:pStyle w:val="Default"/>
        <w:numPr>
          <w:ilvl w:val="0"/>
          <w:numId w:val="11"/>
        </w:numPr>
        <w:rPr>
          <w:sz w:val="27"/>
          <w:szCs w:val="27"/>
        </w:rPr>
      </w:pPr>
      <w:r>
        <w:rPr>
          <w:sz w:val="27"/>
          <w:szCs w:val="27"/>
        </w:rPr>
        <w:t>купирования отёков;</w:t>
      </w:r>
    </w:p>
    <w:p w14:paraId="0740A999" w14:textId="77777777" w:rsidR="0065526A" w:rsidRDefault="0065526A" w:rsidP="0065526A">
      <w:pPr>
        <w:pStyle w:val="Default"/>
        <w:numPr>
          <w:ilvl w:val="0"/>
          <w:numId w:val="11"/>
        </w:numPr>
        <w:rPr>
          <w:sz w:val="27"/>
          <w:szCs w:val="27"/>
        </w:rPr>
      </w:pPr>
      <w:r>
        <w:rPr>
          <w:sz w:val="27"/>
          <w:szCs w:val="27"/>
        </w:rPr>
        <w:t>краткосрочной профилактики (перед оперативными вмешательствами и стоматологическими манипуляциями);</w:t>
      </w:r>
    </w:p>
    <w:p w14:paraId="1601F2CF" w14:textId="5A265E9A" w:rsidR="00002A07" w:rsidRPr="00002A07" w:rsidRDefault="0065526A" w:rsidP="00002A07">
      <w:pPr>
        <w:pStyle w:val="Default"/>
        <w:numPr>
          <w:ilvl w:val="0"/>
          <w:numId w:val="11"/>
        </w:numPr>
        <w:rPr>
          <w:sz w:val="27"/>
          <w:szCs w:val="27"/>
        </w:rPr>
      </w:pPr>
      <w:r>
        <w:rPr>
          <w:sz w:val="27"/>
          <w:szCs w:val="27"/>
        </w:rPr>
        <w:t xml:space="preserve">долгосрочной профилактики при тяжелом течении или частых приступах </w:t>
      </w:r>
      <w:proofErr w:type="gramStart"/>
      <w:r>
        <w:rPr>
          <w:sz w:val="27"/>
          <w:szCs w:val="27"/>
        </w:rPr>
        <w:t>заболевания(</w:t>
      </w:r>
      <w:proofErr w:type="gramEnd"/>
      <w:r>
        <w:rPr>
          <w:sz w:val="27"/>
          <w:szCs w:val="27"/>
        </w:rPr>
        <w:t>профилактика рецидивов).</w:t>
      </w:r>
    </w:p>
    <w:p w14:paraId="3BEE5F81" w14:textId="77777777" w:rsidR="00002A07" w:rsidRDefault="00002A07" w:rsidP="006552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3"/>
          <w:szCs w:val="33"/>
        </w:rPr>
      </w:pPr>
    </w:p>
    <w:p w14:paraId="57D5363E" w14:textId="63CC9EA1" w:rsidR="00E739F0" w:rsidRPr="00E739F0" w:rsidRDefault="0065526A" w:rsidP="006552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b/>
          <w:bCs/>
          <w:sz w:val="33"/>
          <w:szCs w:val="33"/>
        </w:rPr>
        <w:t>Купирование отёков</w:t>
      </w:r>
    </w:p>
    <w:tbl>
      <w:tblPr>
        <w:tblpPr w:leftFromText="180" w:rightFromText="180" w:vertAnchor="text" w:horzAnchor="margin" w:tblpXSpec="center" w:tblpY="73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2"/>
        <w:gridCol w:w="3602"/>
        <w:gridCol w:w="3602"/>
      </w:tblGrid>
      <w:tr w:rsidR="0065526A" w:rsidRPr="0065526A" w14:paraId="59CF0FEA" w14:textId="77777777" w:rsidTr="0065526A">
        <w:trPr>
          <w:trHeight w:val="111"/>
        </w:trPr>
        <w:tc>
          <w:tcPr>
            <w:tcW w:w="3602" w:type="dxa"/>
          </w:tcPr>
          <w:p w14:paraId="298EE01C" w14:textId="77777777" w:rsidR="0065526A" w:rsidRPr="0065526A" w:rsidRDefault="0065526A" w:rsidP="0065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>Препарат</w:t>
            </w:r>
          </w:p>
        </w:tc>
        <w:tc>
          <w:tcPr>
            <w:tcW w:w="3602" w:type="dxa"/>
          </w:tcPr>
          <w:p w14:paraId="6938681D" w14:textId="77777777" w:rsidR="0065526A" w:rsidRPr="0065526A" w:rsidRDefault="0065526A" w:rsidP="0065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>Взрослые</w:t>
            </w:r>
          </w:p>
        </w:tc>
        <w:tc>
          <w:tcPr>
            <w:tcW w:w="3602" w:type="dxa"/>
          </w:tcPr>
          <w:p w14:paraId="33FF077D" w14:textId="77777777" w:rsidR="0065526A" w:rsidRPr="0065526A" w:rsidRDefault="0065526A" w:rsidP="0065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>Дети</w:t>
            </w:r>
          </w:p>
        </w:tc>
      </w:tr>
      <w:tr w:rsidR="0065526A" w:rsidRPr="0065526A" w14:paraId="480FB471" w14:textId="77777777" w:rsidTr="0065526A">
        <w:trPr>
          <w:trHeight w:val="606"/>
        </w:trPr>
        <w:tc>
          <w:tcPr>
            <w:tcW w:w="3602" w:type="dxa"/>
          </w:tcPr>
          <w:p w14:paraId="77A2651D" w14:textId="77777777" w:rsidR="0065526A" w:rsidRPr="0065526A" w:rsidRDefault="0065526A" w:rsidP="0065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>Икатибант</w:t>
            </w:r>
            <w:proofErr w:type="spellEnd"/>
          </w:p>
        </w:tc>
        <w:tc>
          <w:tcPr>
            <w:tcW w:w="3602" w:type="dxa"/>
          </w:tcPr>
          <w:p w14:paraId="2C0DF2F6" w14:textId="77777777" w:rsidR="0065526A" w:rsidRPr="0065526A" w:rsidRDefault="0065526A" w:rsidP="0065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>30 мг п/к</w:t>
            </w:r>
          </w:p>
        </w:tc>
        <w:tc>
          <w:tcPr>
            <w:tcW w:w="3602" w:type="dxa"/>
          </w:tcPr>
          <w:p w14:paraId="2E2E90B9" w14:textId="77777777" w:rsidR="0065526A" w:rsidRPr="0065526A" w:rsidRDefault="0065526A" w:rsidP="0065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С 2-х лет, в зависимости от </w:t>
            </w:r>
            <w:proofErr w:type="spellStart"/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>массытела</w:t>
            </w:r>
            <w:proofErr w:type="spellEnd"/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  <w:p w14:paraId="4B72DC61" w14:textId="77777777" w:rsidR="0065526A" w:rsidRPr="0065526A" w:rsidRDefault="0065526A" w:rsidP="0065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12 кг - 25 кг 10 мг </w:t>
            </w:r>
          </w:p>
          <w:p w14:paraId="107D408B" w14:textId="77777777" w:rsidR="0065526A" w:rsidRPr="0065526A" w:rsidRDefault="0065526A" w:rsidP="0065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26 кг – 40 кг 15 мг </w:t>
            </w:r>
          </w:p>
          <w:p w14:paraId="3021DD07" w14:textId="77777777" w:rsidR="0065526A" w:rsidRPr="0065526A" w:rsidRDefault="0065526A" w:rsidP="0065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41 кг - 50 кг 20 мг </w:t>
            </w:r>
          </w:p>
          <w:p w14:paraId="1E2928CA" w14:textId="77777777" w:rsidR="0065526A" w:rsidRPr="0065526A" w:rsidRDefault="0065526A" w:rsidP="0065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>51 кг - 65 кг 25 мг</w:t>
            </w:r>
          </w:p>
          <w:p w14:paraId="2C0E9FA8" w14:textId="77777777" w:rsidR="0065526A" w:rsidRPr="0065526A" w:rsidRDefault="0065526A" w:rsidP="0065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&gt; 65 кг 30 </w:t>
            </w:r>
            <w:proofErr w:type="gramStart"/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>мг[</w:t>
            </w:r>
            <w:proofErr w:type="gramEnd"/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>74]</w:t>
            </w:r>
          </w:p>
        </w:tc>
      </w:tr>
      <w:tr w:rsidR="0065526A" w:rsidRPr="0065526A" w14:paraId="7B203B38" w14:textId="77777777" w:rsidTr="0065526A">
        <w:trPr>
          <w:trHeight w:val="111"/>
        </w:trPr>
        <w:tc>
          <w:tcPr>
            <w:tcW w:w="3602" w:type="dxa"/>
          </w:tcPr>
          <w:p w14:paraId="1D8A26AC" w14:textId="77777777" w:rsidR="0065526A" w:rsidRPr="0065526A" w:rsidRDefault="0065526A" w:rsidP="0065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>Ингибитор С1-эстеразы человека</w:t>
            </w:r>
          </w:p>
        </w:tc>
        <w:tc>
          <w:tcPr>
            <w:tcW w:w="3602" w:type="dxa"/>
          </w:tcPr>
          <w:p w14:paraId="57FA633C" w14:textId="77777777" w:rsidR="0065526A" w:rsidRPr="0065526A" w:rsidRDefault="0065526A" w:rsidP="0065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>20 МЕ/кг в/в</w:t>
            </w:r>
          </w:p>
        </w:tc>
        <w:tc>
          <w:tcPr>
            <w:tcW w:w="3602" w:type="dxa"/>
          </w:tcPr>
          <w:p w14:paraId="3BBDCAF7" w14:textId="77777777" w:rsidR="0065526A" w:rsidRPr="0065526A" w:rsidRDefault="0065526A" w:rsidP="0065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>20 МЕ/кг в/в</w:t>
            </w:r>
          </w:p>
        </w:tc>
      </w:tr>
      <w:tr w:rsidR="0065526A" w:rsidRPr="0065526A" w14:paraId="0A0B277F" w14:textId="77777777" w:rsidTr="0065526A">
        <w:trPr>
          <w:trHeight w:val="194"/>
        </w:trPr>
        <w:tc>
          <w:tcPr>
            <w:tcW w:w="3602" w:type="dxa"/>
          </w:tcPr>
          <w:p w14:paraId="1E8CDD37" w14:textId="77777777" w:rsidR="0065526A" w:rsidRPr="0065526A" w:rsidRDefault="0065526A" w:rsidP="0065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>Свежезамороженная плазма (только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>при отсутствии других опций)</w:t>
            </w:r>
          </w:p>
        </w:tc>
        <w:tc>
          <w:tcPr>
            <w:tcW w:w="3602" w:type="dxa"/>
          </w:tcPr>
          <w:p w14:paraId="1D0F42DA" w14:textId="77777777" w:rsidR="0065526A" w:rsidRPr="0065526A" w:rsidRDefault="0065526A" w:rsidP="0065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>400 мл в/в</w:t>
            </w:r>
          </w:p>
        </w:tc>
        <w:tc>
          <w:tcPr>
            <w:tcW w:w="3602" w:type="dxa"/>
          </w:tcPr>
          <w:p w14:paraId="6D845DB0" w14:textId="77777777" w:rsidR="0065526A" w:rsidRPr="0065526A" w:rsidRDefault="0065526A" w:rsidP="0065526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65526A">
              <w:rPr>
                <w:rFonts w:ascii="Verdana" w:hAnsi="Verdana" w:cs="Verdana"/>
                <w:color w:val="000000"/>
                <w:sz w:val="16"/>
                <w:szCs w:val="16"/>
              </w:rPr>
              <w:t>10 мл/кг массы тела в/в</w:t>
            </w:r>
          </w:p>
        </w:tc>
      </w:tr>
    </w:tbl>
    <w:p w14:paraId="68F6DEAB" w14:textId="1FF5E277" w:rsidR="00391B8D" w:rsidRDefault="00391B8D" w:rsidP="00391B8D"/>
    <w:p w14:paraId="36FDAC26" w14:textId="3CC1FB22" w:rsidR="00002A07" w:rsidRDefault="00002A07" w:rsidP="00391B8D"/>
    <w:p w14:paraId="78CC0C35" w14:textId="77777777" w:rsidR="00002A07" w:rsidRDefault="00002A07" w:rsidP="00391B8D"/>
    <w:p w14:paraId="61C9346A" w14:textId="77777777" w:rsidR="007806AB" w:rsidRDefault="007806AB" w:rsidP="00002A07">
      <w:pPr>
        <w:pStyle w:val="2"/>
      </w:pPr>
      <w:bookmarkStart w:id="9" w:name="_Toc122037643"/>
      <w:r w:rsidRPr="007806AB">
        <w:lastRenderedPageBreak/>
        <w:t>Краткосрочная профилактика</w:t>
      </w:r>
      <w:bookmarkEnd w:id="9"/>
    </w:p>
    <w:p w14:paraId="7EECAEBB" w14:textId="77777777" w:rsidR="007806AB" w:rsidRPr="007806AB" w:rsidRDefault="007806AB" w:rsidP="007806AB">
      <w:r w:rsidRPr="007806AB">
        <w:t>Пациентам с НАО I и II типов рекомендуется проводить краткосрочную профилактику(таблица 6, приложение Б-4) перед любыми оперативными вмешательствами (в том числе</w:t>
      </w:r>
      <w:r>
        <w:t xml:space="preserve"> </w:t>
      </w:r>
      <w:r w:rsidRPr="007806AB">
        <w:t>малыми, такими как стоматологические манипуляции), инвазивными медицинскими</w:t>
      </w:r>
      <w:r>
        <w:t xml:space="preserve"> </w:t>
      </w:r>
      <w:r w:rsidRPr="007806AB">
        <w:t>исследованиями, особенно в области дыхательных путей, верхних отделах пищеварительного</w:t>
      </w:r>
      <w:r>
        <w:t xml:space="preserve"> </w:t>
      </w:r>
      <w:r w:rsidRPr="007806AB">
        <w:t>тракта, для предотвращения развития отёка</w:t>
      </w:r>
    </w:p>
    <w:p w14:paraId="58F82F2C" w14:textId="77777777" w:rsidR="007806AB" w:rsidRPr="007806AB" w:rsidRDefault="007806AB" w:rsidP="007806A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2996"/>
        <w:gridCol w:w="2996"/>
      </w:tblGrid>
      <w:tr w:rsidR="007806AB" w:rsidRPr="007806AB" w14:paraId="0CF691EB" w14:textId="77777777" w:rsidTr="007806AB">
        <w:trPr>
          <w:trHeight w:val="111"/>
        </w:trPr>
        <w:tc>
          <w:tcPr>
            <w:tcW w:w="2996" w:type="dxa"/>
          </w:tcPr>
          <w:p w14:paraId="443692E9" w14:textId="77777777" w:rsidR="007806AB" w:rsidRPr="007806AB" w:rsidRDefault="007806AB" w:rsidP="007806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Препарат</w:t>
            </w:r>
          </w:p>
        </w:tc>
        <w:tc>
          <w:tcPr>
            <w:tcW w:w="2996" w:type="dxa"/>
          </w:tcPr>
          <w:p w14:paraId="7CAECC02" w14:textId="77777777" w:rsidR="007806AB" w:rsidRPr="007806AB" w:rsidRDefault="007806AB" w:rsidP="007806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Взрослые</w:t>
            </w:r>
          </w:p>
        </w:tc>
        <w:tc>
          <w:tcPr>
            <w:tcW w:w="2996" w:type="dxa"/>
          </w:tcPr>
          <w:p w14:paraId="58D560FC" w14:textId="77777777" w:rsidR="007806AB" w:rsidRPr="007806AB" w:rsidRDefault="007806AB" w:rsidP="007806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Дети</w:t>
            </w:r>
          </w:p>
        </w:tc>
      </w:tr>
      <w:tr w:rsidR="007806AB" w:rsidRPr="007806AB" w14:paraId="200A04A1" w14:textId="77777777" w:rsidTr="007806AB">
        <w:trPr>
          <w:trHeight w:val="194"/>
        </w:trPr>
        <w:tc>
          <w:tcPr>
            <w:tcW w:w="2996" w:type="dxa"/>
          </w:tcPr>
          <w:p w14:paraId="6A48AD33" w14:textId="77777777" w:rsidR="007806AB" w:rsidRPr="007806AB" w:rsidRDefault="007806AB" w:rsidP="007806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Ингибитор С1-эстеразы человека</w:t>
            </w:r>
          </w:p>
        </w:tc>
        <w:tc>
          <w:tcPr>
            <w:tcW w:w="2996" w:type="dxa"/>
          </w:tcPr>
          <w:p w14:paraId="01296CA6" w14:textId="77777777" w:rsidR="007806AB" w:rsidRPr="007806AB" w:rsidRDefault="007806AB" w:rsidP="007806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1000 МЕ в/в</w:t>
            </w:r>
          </w:p>
        </w:tc>
        <w:tc>
          <w:tcPr>
            <w:tcW w:w="2996" w:type="dxa"/>
          </w:tcPr>
          <w:p w14:paraId="2D39DE18" w14:textId="77777777" w:rsidR="007806AB" w:rsidRPr="007806AB" w:rsidRDefault="007806AB" w:rsidP="007806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15-30 МЕ/кг массы тела в/в</w:t>
            </w:r>
          </w:p>
        </w:tc>
      </w:tr>
      <w:tr w:rsidR="007806AB" w:rsidRPr="007806AB" w14:paraId="67428870" w14:textId="77777777" w:rsidTr="007806AB">
        <w:trPr>
          <w:trHeight w:val="276"/>
        </w:trPr>
        <w:tc>
          <w:tcPr>
            <w:tcW w:w="2996" w:type="dxa"/>
          </w:tcPr>
          <w:p w14:paraId="3B606586" w14:textId="77777777" w:rsidR="007806AB" w:rsidRPr="007806AB" w:rsidRDefault="007806AB" w:rsidP="007806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Свежезамороженная плазма</w:t>
            </w:r>
          </w:p>
          <w:p w14:paraId="7C239D61" w14:textId="77777777" w:rsidR="007806AB" w:rsidRPr="007806AB" w:rsidRDefault="007806AB" w:rsidP="007806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(только при </w:t>
            </w:r>
            <w:proofErr w:type="spellStart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отсутствииингибитора</w:t>
            </w:r>
            <w:proofErr w:type="spellEnd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С1-эстеразы человека)</w:t>
            </w:r>
          </w:p>
        </w:tc>
        <w:tc>
          <w:tcPr>
            <w:tcW w:w="2996" w:type="dxa"/>
          </w:tcPr>
          <w:p w14:paraId="7D5996B5" w14:textId="77777777" w:rsidR="007806AB" w:rsidRPr="007806AB" w:rsidRDefault="007806AB" w:rsidP="007806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400 мл в/в</w:t>
            </w:r>
          </w:p>
        </w:tc>
        <w:tc>
          <w:tcPr>
            <w:tcW w:w="2996" w:type="dxa"/>
          </w:tcPr>
          <w:p w14:paraId="70F7A359" w14:textId="77777777" w:rsidR="007806AB" w:rsidRPr="007806AB" w:rsidRDefault="007806AB" w:rsidP="007806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10 мл/кг массы тела</w:t>
            </w:r>
          </w:p>
        </w:tc>
      </w:tr>
      <w:tr w:rsidR="007806AB" w:rsidRPr="007806AB" w14:paraId="42D4D566" w14:textId="77777777" w:rsidTr="007806AB">
        <w:trPr>
          <w:trHeight w:val="606"/>
        </w:trPr>
        <w:tc>
          <w:tcPr>
            <w:tcW w:w="2996" w:type="dxa"/>
          </w:tcPr>
          <w:p w14:paraId="7E791B4F" w14:textId="77777777" w:rsidR="007806AB" w:rsidRPr="007806AB" w:rsidRDefault="007806AB" w:rsidP="007806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Даназол</w:t>
            </w:r>
            <w:proofErr w:type="spellEnd"/>
          </w:p>
        </w:tc>
        <w:tc>
          <w:tcPr>
            <w:tcW w:w="2996" w:type="dxa"/>
          </w:tcPr>
          <w:p w14:paraId="071991C0" w14:textId="77777777" w:rsidR="007806AB" w:rsidRPr="007806AB" w:rsidRDefault="007806AB" w:rsidP="007806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2,5-10 мг/кг массы тела за 5 </w:t>
            </w:r>
            <w:proofErr w:type="spellStart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днейдо</w:t>
            </w:r>
            <w:proofErr w:type="spellEnd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и 2-3 дня </w:t>
            </w:r>
            <w:proofErr w:type="gramStart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после(</w:t>
            </w:r>
            <w:proofErr w:type="gramEnd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максимальная доза 600 мг)</w:t>
            </w:r>
          </w:p>
        </w:tc>
        <w:tc>
          <w:tcPr>
            <w:tcW w:w="2996" w:type="dxa"/>
          </w:tcPr>
          <w:p w14:paraId="7AF92386" w14:textId="77777777" w:rsidR="007806AB" w:rsidRPr="007806AB" w:rsidRDefault="007806AB" w:rsidP="007806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#даназол только </w:t>
            </w:r>
            <w:proofErr w:type="spellStart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приотсутствии</w:t>
            </w:r>
            <w:proofErr w:type="spellEnd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другихпрепаратов</w:t>
            </w:r>
            <w:proofErr w:type="spellEnd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: 2,5-10 мг/</w:t>
            </w:r>
            <w:proofErr w:type="spellStart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кгмассы</w:t>
            </w:r>
            <w:proofErr w:type="spellEnd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тела за 5 дней до и2-3 </w:t>
            </w:r>
            <w:proofErr w:type="spellStart"/>
            <w:proofErr w:type="gramStart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дняпосле</w:t>
            </w:r>
            <w:proofErr w:type="spellEnd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(</w:t>
            </w:r>
            <w:proofErr w:type="gramEnd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максимальная доза600 мг)</w:t>
            </w:r>
          </w:p>
        </w:tc>
      </w:tr>
    </w:tbl>
    <w:p w14:paraId="7A0B7E7F" w14:textId="77777777" w:rsidR="007806AB" w:rsidRDefault="007806AB" w:rsidP="00391B8D"/>
    <w:p w14:paraId="2600C32D" w14:textId="77777777" w:rsidR="007806AB" w:rsidRDefault="007806AB" w:rsidP="00002A07">
      <w:pPr>
        <w:pStyle w:val="2"/>
      </w:pPr>
      <w:bookmarkStart w:id="10" w:name="_Toc122037644"/>
      <w:r w:rsidRPr="007806AB">
        <w:t>Долгосрочная профилактика</w:t>
      </w:r>
      <w:bookmarkEnd w:id="10"/>
    </w:p>
    <w:p w14:paraId="064C64B3" w14:textId="77777777" w:rsidR="002616FA" w:rsidRDefault="002616FA" w:rsidP="00391B8D">
      <w:r w:rsidRPr="002616FA">
        <w:t>Основная задача долгосрочной профилактики – уменьшение частоты и интенсивности атак</w:t>
      </w:r>
      <w:r>
        <w:t xml:space="preserve"> </w:t>
      </w:r>
      <w:r w:rsidRPr="002616FA">
        <w:t>НАО и минимизация влияния заболевания на повседневную активность пациента. Терапию</w:t>
      </w:r>
      <w:r>
        <w:t xml:space="preserve"> </w:t>
      </w:r>
      <w:r w:rsidRPr="002616FA">
        <w:t>рекомендуется индивидуализировать в зависимости от особенностей течения, наличия</w:t>
      </w:r>
      <w:r>
        <w:t xml:space="preserve"> </w:t>
      </w:r>
      <w:r w:rsidRPr="002616FA">
        <w:t>противопоказаний, технических возможностей для получения той или иной терапии. Четыре</w:t>
      </w:r>
      <w:r>
        <w:t xml:space="preserve"> </w:t>
      </w:r>
      <w:r w:rsidRPr="002616FA">
        <w:t>группы препаратов рекомендовано использовать для долгосроч</w:t>
      </w:r>
      <w:r>
        <w:t>ной профилактики НАО I, II типа</w:t>
      </w:r>
    </w:p>
    <w:tbl>
      <w:tblPr>
        <w:tblpPr w:leftFromText="180" w:rightFromText="180" w:vertAnchor="text" w:horzAnchor="page" w:tblpX="913" w:tblpY="27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2616FA" w:rsidRPr="007806AB" w14:paraId="63819D39" w14:textId="77777777" w:rsidTr="002616FA">
        <w:trPr>
          <w:trHeight w:val="111"/>
        </w:trPr>
        <w:tc>
          <w:tcPr>
            <w:tcW w:w="3606" w:type="dxa"/>
          </w:tcPr>
          <w:p w14:paraId="3BBFE837" w14:textId="77777777" w:rsidR="002616FA" w:rsidRPr="007806AB" w:rsidRDefault="002616FA" w:rsidP="0026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Препараты</w:t>
            </w:r>
          </w:p>
        </w:tc>
        <w:tc>
          <w:tcPr>
            <w:tcW w:w="3606" w:type="dxa"/>
          </w:tcPr>
          <w:p w14:paraId="4C3C60DE" w14:textId="77777777" w:rsidR="002616FA" w:rsidRPr="007806AB" w:rsidRDefault="002616FA" w:rsidP="0026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Взрослые</w:t>
            </w:r>
          </w:p>
        </w:tc>
        <w:tc>
          <w:tcPr>
            <w:tcW w:w="3606" w:type="dxa"/>
          </w:tcPr>
          <w:p w14:paraId="435D0B27" w14:textId="77777777" w:rsidR="002616FA" w:rsidRPr="007806AB" w:rsidRDefault="002616FA" w:rsidP="0026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Дети</w:t>
            </w:r>
          </w:p>
        </w:tc>
      </w:tr>
      <w:tr w:rsidR="002616FA" w:rsidRPr="007806AB" w14:paraId="5097B672" w14:textId="77777777" w:rsidTr="002616FA">
        <w:trPr>
          <w:trHeight w:val="359"/>
        </w:trPr>
        <w:tc>
          <w:tcPr>
            <w:tcW w:w="3606" w:type="dxa"/>
          </w:tcPr>
          <w:p w14:paraId="7E798D89" w14:textId="77777777" w:rsidR="002616FA" w:rsidRPr="007806AB" w:rsidRDefault="002616FA" w:rsidP="0026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Даназол</w:t>
            </w:r>
            <w:proofErr w:type="spellEnd"/>
          </w:p>
        </w:tc>
        <w:tc>
          <w:tcPr>
            <w:tcW w:w="3606" w:type="dxa"/>
          </w:tcPr>
          <w:p w14:paraId="1837CE50" w14:textId="77777777" w:rsidR="002616FA" w:rsidRPr="007806AB" w:rsidRDefault="002616FA" w:rsidP="0026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100 мг через 1 день – 600 мг/сутки</w:t>
            </w:r>
          </w:p>
        </w:tc>
        <w:tc>
          <w:tcPr>
            <w:tcW w:w="3606" w:type="dxa"/>
          </w:tcPr>
          <w:p w14:paraId="2FF28B2F" w14:textId="77777777" w:rsidR="002616FA" w:rsidRPr="007806AB" w:rsidRDefault="002616FA" w:rsidP="0026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только детям, достигшим V стадии </w:t>
            </w:r>
            <w:proofErr w:type="spellStart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половогосозревания</w:t>
            </w:r>
            <w:proofErr w:type="spellEnd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Таннеру</w:t>
            </w:r>
            <w:proofErr w:type="spellEnd"/>
          </w:p>
          <w:p w14:paraId="06D265CA" w14:textId="77777777" w:rsidR="002616FA" w:rsidRPr="007806AB" w:rsidRDefault="002616FA" w:rsidP="0026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#2,5 мг/кг массы тела (</w:t>
            </w:r>
            <w:proofErr w:type="spellStart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>максимальнаяоднократная</w:t>
            </w:r>
            <w:proofErr w:type="spellEnd"/>
            <w:r w:rsidRPr="007806A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доза 200мг)</w:t>
            </w:r>
          </w:p>
        </w:tc>
      </w:tr>
    </w:tbl>
    <w:tbl>
      <w:tblPr>
        <w:tblpPr w:leftFromText="180" w:rightFromText="180" w:vertAnchor="text" w:horzAnchor="margin" w:tblpXSpec="center" w:tblpY="1833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3601"/>
        <w:gridCol w:w="3601"/>
      </w:tblGrid>
      <w:tr w:rsidR="002616FA" w:rsidRPr="002616FA" w14:paraId="148AD54D" w14:textId="77777777" w:rsidTr="002616FA">
        <w:trPr>
          <w:trHeight w:val="194"/>
        </w:trPr>
        <w:tc>
          <w:tcPr>
            <w:tcW w:w="3601" w:type="dxa"/>
          </w:tcPr>
          <w:p w14:paraId="673F18DD" w14:textId="77777777" w:rsidR="002616FA" w:rsidRPr="002616FA" w:rsidRDefault="002616FA" w:rsidP="0026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616FA">
              <w:rPr>
                <w:rFonts w:ascii="Verdana" w:hAnsi="Verdana" w:cs="Verdana"/>
                <w:color w:val="000000"/>
                <w:sz w:val="16"/>
                <w:szCs w:val="16"/>
              </w:rPr>
              <w:t>#Транексамовая кислота**</w:t>
            </w:r>
          </w:p>
        </w:tc>
        <w:tc>
          <w:tcPr>
            <w:tcW w:w="3601" w:type="dxa"/>
          </w:tcPr>
          <w:p w14:paraId="7AA9D43D" w14:textId="77777777" w:rsidR="002616FA" w:rsidRPr="002616FA" w:rsidRDefault="002616FA" w:rsidP="0026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616FA">
              <w:rPr>
                <w:rFonts w:ascii="Verdana" w:hAnsi="Verdana" w:cs="Verdana"/>
                <w:color w:val="000000"/>
                <w:sz w:val="16"/>
                <w:szCs w:val="16"/>
              </w:rPr>
              <w:t>30-50 мг/кг массы тела, разделенных на 4приема (до 6 г)</w:t>
            </w:r>
          </w:p>
        </w:tc>
        <w:tc>
          <w:tcPr>
            <w:tcW w:w="3601" w:type="dxa"/>
          </w:tcPr>
          <w:p w14:paraId="60400EF6" w14:textId="77777777" w:rsidR="002616FA" w:rsidRPr="002616FA" w:rsidRDefault="002616FA" w:rsidP="0026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616F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Старше 3-х лет: 20-40 мг/кг массы </w:t>
            </w:r>
            <w:proofErr w:type="spellStart"/>
            <w:proofErr w:type="gramStart"/>
            <w:r w:rsidRPr="002616FA">
              <w:rPr>
                <w:rFonts w:ascii="Verdana" w:hAnsi="Verdana" w:cs="Verdana"/>
                <w:color w:val="000000"/>
                <w:sz w:val="16"/>
                <w:szCs w:val="16"/>
              </w:rPr>
              <w:t>тела,разделенных</w:t>
            </w:r>
            <w:proofErr w:type="spellEnd"/>
            <w:proofErr w:type="gramEnd"/>
            <w:r w:rsidRPr="002616F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на 4 приема</w:t>
            </w:r>
          </w:p>
        </w:tc>
      </w:tr>
      <w:tr w:rsidR="002616FA" w:rsidRPr="002616FA" w14:paraId="433105D2" w14:textId="77777777" w:rsidTr="002616FA">
        <w:trPr>
          <w:trHeight w:val="111"/>
        </w:trPr>
        <w:tc>
          <w:tcPr>
            <w:tcW w:w="3601" w:type="dxa"/>
          </w:tcPr>
          <w:p w14:paraId="2D25ADF6" w14:textId="77777777" w:rsidR="002616FA" w:rsidRPr="002616FA" w:rsidRDefault="002616FA" w:rsidP="0026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616FA">
              <w:rPr>
                <w:rFonts w:ascii="Verdana" w:hAnsi="Verdana" w:cs="Verdana"/>
                <w:color w:val="000000"/>
                <w:sz w:val="16"/>
                <w:szCs w:val="16"/>
              </w:rPr>
              <w:t>#Ингибитор С1-эстеразы</w:t>
            </w:r>
          </w:p>
        </w:tc>
        <w:tc>
          <w:tcPr>
            <w:tcW w:w="3601" w:type="dxa"/>
          </w:tcPr>
          <w:p w14:paraId="198F78AE" w14:textId="77777777" w:rsidR="002616FA" w:rsidRPr="002616FA" w:rsidRDefault="002616FA" w:rsidP="0026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616FA">
              <w:rPr>
                <w:rFonts w:ascii="Verdana" w:hAnsi="Verdana" w:cs="Verdana"/>
                <w:color w:val="000000"/>
                <w:sz w:val="16"/>
                <w:szCs w:val="16"/>
              </w:rPr>
              <w:t>500-3000 МЕ в/в 2 раза в неделю</w:t>
            </w:r>
          </w:p>
        </w:tc>
        <w:tc>
          <w:tcPr>
            <w:tcW w:w="3601" w:type="dxa"/>
          </w:tcPr>
          <w:p w14:paraId="30157B89" w14:textId="77777777" w:rsidR="002616FA" w:rsidRPr="002616FA" w:rsidRDefault="002616FA" w:rsidP="0026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616FA">
              <w:rPr>
                <w:rFonts w:ascii="Verdana" w:hAnsi="Verdana" w:cs="Verdana"/>
                <w:color w:val="000000"/>
                <w:sz w:val="16"/>
                <w:szCs w:val="16"/>
              </w:rPr>
              <w:t>20 МЕ/кг массы тела 2 раза в неделю</w:t>
            </w:r>
          </w:p>
        </w:tc>
      </w:tr>
      <w:tr w:rsidR="002616FA" w:rsidRPr="002616FA" w14:paraId="467D42E6" w14:textId="77777777" w:rsidTr="002616FA">
        <w:trPr>
          <w:trHeight w:val="276"/>
        </w:trPr>
        <w:tc>
          <w:tcPr>
            <w:tcW w:w="3601" w:type="dxa"/>
          </w:tcPr>
          <w:p w14:paraId="4AB914F7" w14:textId="77777777" w:rsidR="002616FA" w:rsidRPr="002616FA" w:rsidRDefault="002616FA" w:rsidP="0026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616FA">
              <w:rPr>
                <w:rFonts w:ascii="Verdana" w:hAnsi="Verdana" w:cs="Verdana"/>
                <w:color w:val="000000"/>
                <w:sz w:val="16"/>
                <w:szCs w:val="16"/>
              </w:rPr>
              <w:t>#Прогестагены</w:t>
            </w:r>
          </w:p>
        </w:tc>
        <w:tc>
          <w:tcPr>
            <w:tcW w:w="3601" w:type="dxa"/>
          </w:tcPr>
          <w:p w14:paraId="3966331A" w14:textId="77777777" w:rsidR="002616FA" w:rsidRPr="002616FA" w:rsidRDefault="002616FA" w:rsidP="0026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616FA">
              <w:rPr>
                <w:rFonts w:ascii="Verdana" w:hAnsi="Verdana" w:cs="Verdana"/>
                <w:color w:val="000000"/>
                <w:sz w:val="16"/>
                <w:szCs w:val="16"/>
              </w:rPr>
              <w:t>Только для женщин детородного возраста.</w:t>
            </w:r>
          </w:p>
          <w:p w14:paraId="20C35173" w14:textId="77777777" w:rsidR="002616FA" w:rsidRPr="002616FA" w:rsidRDefault="002616FA" w:rsidP="0026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616FA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Согласно инструкции к </w:t>
            </w:r>
            <w:proofErr w:type="spellStart"/>
            <w:r w:rsidRPr="002616FA">
              <w:rPr>
                <w:rFonts w:ascii="Verdana" w:hAnsi="Verdana" w:cs="Verdana"/>
                <w:color w:val="000000"/>
                <w:sz w:val="16"/>
                <w:szCs w:val="16"/>
              </w:rPr>
              <w:t>конкретномупрепарату</w:t>
            </w:r>
            <w:proofErr w:type="spellEnd"/>
          </w:p>
        </w:tc>
        <w:tc>
          <w:tcPr>
            <w:tcW w:w="3601" w:type="dxa"/>
          </w:tcPr>
          <w:p w14:paraId="00187CED" w14:textId="77777777" w:rsidR="002616FA" w:rsidRPr="002616FA" w:rsidRDefault="002616FA" w:rsidP="0026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616FA">
              <w:rPr>
                <w:rFonts w:ascii="Verdana" w:hAnsi="Verdana" w:cs="Verdana"/>
                <w:color w:val="000000"/>
                <w:sz w:val="16"/>
                <w:szCs w:val="16"/>
              </w:rPr>
              <w:t>Не применяются</w:t>
            </w:r>
          </w:p>
        </w:tc>
      </w:tr>
    </w:tbl>
    <w:p w14:paraId="4E7C513D" w14:textId="77777777" w:rsidR="007806AB" w:rsidRPr="007806AB" w:rsidRDefault="007806AB" w:rsidP="007806A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124576EA" w14:textId="77777777" w:rsidR="007806AB" w:rsidRPr="007806AB" w:rsidRDefault="007806AB" w:rsidP="007806A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0DEFBC1D" w14:textId="77777777" w:rsidR="007806AB" w:rsidRPr="007806AB" w:rsidRDefault="007806AB" w:rsidP="007806A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4110547D" w14:textId="77777777" w:rsidR="007806AB" w:rsidRPr="007806AB" w:rsidRDefault="007806AB" w:rsidP="007806A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2A8622D7" w14:textId="77777777" w:rsidR="007806AB" w:rsidRPr="007806AB" w:rsidRDefault="007806AB" w:rsidP="007806A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0C870763" w14:textId="33332201" w:rsidR="00002A07" w:rsidRDefault="00002A07" w:rsidP="00002A07">
      <w:pPr>
        <w:pStyle w:val="1"/>
      </w:pPr>
    </w:p>
    <w:p w14:paraId="4BAC58D1" w14:textId="2DD820F5" w:rsidR="00002A07" w:rsidRDefault="00002A07" w:rsidP="00002A07"/>
    <w:p w14:paraId="57751CB0" w14:textId="42DA62EE" w:rsidR="00002A07" w:rsidRDefault="00002A07" w:rsidP="00002A07"/>
    <w:p w14:paraId="4F1219E1" w14:textId="0477A947" w:rsidR="00002A07" w:rsidRDefault="00002A07" w:rsidP="00002A07"/>
    <w:p w14:paraId="7DA5C8C7" w14:textId="5C147F24" w:rsidR="00002A07" w:rsidRDefault="00002A07" w:rsidP="00002A07"/>
    <w:p w14:paraId="646DD3E1" w14:textId="00EC83C0" w:rsidR="007806AB" w:rsidRPr="007806AB" w:rsidRDefault="00002A07" w:rsidP="00002A07">
      <w:pPr>
        <w:pStyle w:val="1"/>
      </w:pPr>
      <w:bookmarkStart w:id="11" w:name="_Toc122037645"/>
      <w:r w:rsidRPr="00002A07">
        <w:lastRenderedPageBreak/>
        <w:t>Список литературы:</w:t>
      </w:r>
      <w:bookmarkEnd w:id="11"/>
    </w:p>
    <w:p w14:paraId="64663B1F" w14:textId="77777777" w:rsidR="007806AB" w:rsidRPr="007806AB" w:rsidRDefault="007806AB" w:rsidP="007806A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40F7130A" w14:textId="77777777" w:rsidR="002616FA" w:rsidRPr="002616FA" w:rsidRDefault="002616FA" w:rsidP="002616F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61A24D5C" w14:textId="7C3F00E4" w:rsidR="007806AB" w:rsidRDefault="00002A07" w:rsidP="00002A07">
      <w:pPr>
        <w:pStyle w:val="a3"/>
        <w:numPr>
          <w:ilvl w:val="0"/>
          <w:numId w:val="12"/>
        </w:numPr>
      </w:pPr>
      <w:r w:rsidRPr="00002A07">
        <w:t xml:space="preserve">Крюков А.И., </w:t>
      </w:r>
      <w:proofErr w:type="spellStart"/>
      <w:r w:rsidRPr="00002A07">
        <w:t>Кунельская</w:t>
      </w:r>
      <w:proofErr w:type="spellEnd"/>
      <w:r w:rsidRPr="00002A07">
        <w:t xml:space="preserve"> Н.Л., Царапкин Г.Ю., Товмасян А.С., Лапченко А.А., Кишиневский А.Е., </w:t>
      </w:r>
      <w:proofErr w:type="spellStart"/>
      <w:r w:rsidRPr="00002A07">
        <w:t>Горовая</w:t>
      </w:r>
      <w:proofErr w:type="spellEnd"/>
      <w:r w:rsidRPr="00002A07">
        <w:t xml:space="preserve"> Е.В., Алексанян Т.А. Ангионевротический отек. Классификация, диагностика, профилактика, тактика лечения. Вестник оториноларингологии. 2019;84(3):68-73</w:t>
      </w:r>
    </w:p>
    <w:p w14:paraId="4FD367B9" w14:textId="4ED63287" w:rsidR="00002A07" w:rsidRDefault="00002A07" w:rsidP="00002A07">
      <w:pPr>
        <w:pStyle w:val="a3"/>
        <w:numPr>
          <w:ilvl w:val="0"/>
          <w:numId w:val="12"/>
        </w:numPr>
      </w:pPr>
      <w:r>
        <w:t xml:space="preserve">Ангионевротический отек. Клинические рекомендации для врачей общей практики (семейных врачей). Общероссийская общественная организация «Ассоциация врачей общей практики (семейных врачей) Российской Федерации». М. 2014. </w:t>
      </w:r>
      <w:proofErr w:type="spellStart"/>
      <w:r>
        <w:t>Angionevroticheskii</w:t>
      </w:r>
      <w:proofErr w:type="spellEnd"/>
      <w:r>
        <w:t xml:space="preserve"> </w:t>
      </w:r>
      <w:proofErr w:type="spellStart"/>
      <w:r>
        <w:t>otek</w:t>
      </w:r>
      <w:proofErr w:type="spellEnd"/>
      <w:r>
        <w:t xml:space="preserve">. </w:t>
      </w:r>
      <w:proofErr w:type="spellStart"/>
      <w:r>
        <w:t>Klinicheskie</w:t>
      </w:r>
      <w:proofErr w:type="spellEnd"/>
      <w:r>
        <w:t xml:space="preserve"> </w:t>
      </w:r>
      <w:proofErr w:type="spellStart"/>
      <w:r>
        <w:t>rekomendatsii</w:t>
      </w:r>
      <w:proofErr w:type="spellEnd"/>
      <w:r>
        <w:t xml:space="preserve"> </w:t>
      </w:r>
      <w:proofErr w:type="spellStart"/>
      <w:r>
        <w:t>dlya</w:t>
      </w:r>
      <w:proofErr w:type="spellEnd"/>
      <w:r>
        <w:t xml:space="preserve"> </w:t>
      </w:r>
      <w:proofErr w:type="spellStart"/>
      <w:r>
        <w:t>vrachei</w:t>
      </w:r>
      <w:proofErr w:type="spellEnd"/>
      <w:r>
        <w:t xml:space="preserve"> </w:t>
      </w:r>
      <w:proofErr w:type="spellStart"/>
      <w:r>
        <w:t>obshchei</w:t>
      </w:r>
      <w:proofErr w:type="spellEnd"/>
      <w:r>
        <w:t xml:space="preserve"> </w:t>
      </w:r>
      <w:proofErr w:type="spellStart"/>
      <w:r>
        <w:t>praktiki</w:t>
      </w:r>
      <w:proofErr w:type="spellEnd"/>
      <w:r>
        <w:t xml:space="preserve"> (</w:t>
      </w:r>
      <w:proofErr w:type="spellStart"/>
      <w:r>
        <w:t>semeinykh</w:t>
      </w:r>
      <w:proofErr w:type="spellEnd"/>
      <w:r>
        <w:t xml:space="preserve"> </w:t>
      </w:r>
      <w:proofErr w:type="spellStart"/>
      <w:r>
        <w:t>vrachei</w:t>
      </w:r>
      <w:proofErr w:type="spellEnd"/>
      <w:r>
        <w:t xml:space="preserve">). </w:t>
      </w:r>
      <w:proofErr w:type="spellStart"/>
      <w:r>
        <w:t>Obshcherossiiskaya</w:t>
      </w:r>
      <w:proofErr w:type="spellEnd"/>
      <w:r>
        <w:t xml:space="preserve"> </w:t>
      </w:r>
      <w:proofErr w:type="spellStart"/>
      <w:r>
        <w:t>obshchestvennaya</w:t>
      </w:r>
      <w:proofErr w:type="spellEnd"/>
      <w:r>
        <w:t xml:space="preserve"> </w:t>
      </w:r>
      <w:proofErr w:type="spellStart"/>
      <w:r>
        <w:t>organizatsiya</w:t>
      </w:r>
      <w:proofErr w:type="spellEnd"/>
      <w:r>
        <w:t xml:space="preserve"> «</w:t>
      </w:r>
      <w:proofErr w:type="spellStart"/>
      <w:r>
        <w:t>Assotsiatsiya</w:t>
      </w:r>
      <w:proofErr w:type="spellEnd"/>
      <w:r>
        <w:t xml:space="preserve"> </w:t>
      </w:r>
      <w:proofErr w:type="spellStart"/>
      <w:r>
        <w:t>vrachei</w:t>
      </w:r>
      <w:proofErr w:type="spellEnd"/>
      <w:r>
        <w:t xml:space="preserve"> </w:t>
      </w:r>
      <w:proofErr w:type="spellStart"/>
      <w:r>
        <w:t>obshchei</w:t>
      </w:r>
      <w:proofErr w:type="spellEnd"/>
      <w:r>
        <w:t xml:space="preserve"> </w:t>
      </w:r>
      <w:proofErr w:type="spellStart"/>
      <w:r>
        <w:t>praktiki</w:t>
      </w:r>
      <w:proofErr w:type="spellEnd"/>
      <w:r>
        <w:t xml:space="preserve"> (</w:t>
      </w:r>
      <w:proofErr w:type="spellStart"/>
      <w:r>
        <w:t>semeinykh</w:t>
      </w:r>
      <w:proofErr w:type="spellEnd"/>
      <w:r>
        <w:t xml:space="preserve"> </w:t>
      </w:r>
      <w:proofErr w:type="spellStart"/>
      <w:r>
        <w:t>vrachei</w:t>
      </w:r>
      <w:proofErr w:type="spellEnd"/>
      <w:r>
        <w:t xml:space="preserve">) </w:t>
      </w:r>
      <w:proofErr w:type="spellStart"/>
      <w:r>
        <w:t>Rossiiskoi</w:t>
      </w:r>
      <w:proofErr w:type="spellEnd"/>
      <w:r>
        <w:t xml:space="preserve"> </w:t>
      </w:r>
      <w:proofErr w:type="spellStart"/>
      <w:r>
        <w:t>Federatsii</w:t>
      </w:r>
      <w:proofErr w:type="spellEnd"/>
      <w:r>
        <w:t>». M. 2014</w:t>
      </w:r>
    </w:p>
    <w:sectPr w:rsidR="0000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97B"/>
    <w:multiLevelType w:val="hybridMultilevel"/>
    <w:tmpl w:val="859A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7780"/>
    <w:multiLevelType w:val="hybridMultilevel"/>
    <w:tmpl w:val="957E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4DAC"/>
    <w:multiLevelType w:val="hybridMultilevel"/>
    <w:tmpl w:val="ED00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6C0E"/>
    <w:multiLevelType w:val="hybridMultilevel"/>
    <w:tmpl w:val="4ACE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10A40"/>
    <w:multiLevelType w:val="hybridMultilevel"/>
    <w:tmpl w:val="3B26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C34F5"/>
    <w:multiLevelType w:val="hybridMultilevel"/>
    <w:tmpl w:val="D1D6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4CCC"/>
    <w:multiLevelType w:val="hybridMultilevel"/>
    <w:tmpl w:val="FAE8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92F3D"/>
    <w:multiLevelType w:val="hybridMultilevel"/>
    <w:tmpl w:val="D7F4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8122B"/>
    <w:multiLevelType w:val="hybridMultilevel"/>
    <w:tmpl w:val="55F2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A7484"/>
    <w:multiLevelType w:val="hybridMultilevel"/>
    <w:tmpl w:val="775C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A5969"/>
    <w:multiLevelType w:val="hybridMultilevel"/>
    <w:tmpl w:val="9436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55137"/>
    <w:multiLevelType w:val="hybridMultilevel"/>
    <w:tmpl w:val="FB3E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98C"/>
    <w:rsid w:val="00002A07"/>
    <w:rsid w:val="001B2116"/>
    <w:rsid w:val="002616FA"/>
    <w:rsid w:val="00391B8D"/>
    <w:rsid w:val="004C498C"/>
    <w:rsid w:val="00637BFE"/>
    <w:rsid w:val="0065526A"/>
    <w:rsid w:val="006A1C95"/>
    <w:rsid w:val="007806AB"/>
    <w:rsid w:val="007831DA"/>
    <w:rsid w:val="007958DA"/>
    <w:rsid w:val="00963D1F"/>
    <w:rsid w:val="009F2E47"/>
    <w:rsid w:val="00A65C6F"/>
    <w:rsid w:val="00CF7EF9"/>
    <w:rsid w:val="00E7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A612"/>
  <w15:docId w15:val="{F8A0A479-9398-413F-8210-94B29557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A07"/>
  </w:style>
  <w:style w:type="paragraph" w:styleId="1">
    <w:name w:val="heading 1"/>
    <w:basedOn w:val="a"/>
    <w:next w:val="a"/>
    <w:link w:val="10"/>
    <w:uiPriority w:val="9"/>
    <w:qFormat/>
    <w:rsid w:val="00002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2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2A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A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A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A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A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A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A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B2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91B8D"/>
    <w:pPr>
      <w:ind w:left="720"/>
      <w:contextualSpacing/>
    </w:pPr>
  </w:style>
  <w:style w:type="table" w:styleId="a4">
    <w:name w:val="Table Grid"/>
    <w:basedOn w:val="a1"/>
    <w:uiPriority w:val="59"/>
    <w:rsid w:val="0078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2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2A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2A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2A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2A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2A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2A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2A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02A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02A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002A0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02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02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002A07"/>
    <w:rPr>
      <w:b/>
      <w:bCs/>
    </w:rPr>
  </w:style>
  <w:style w:type="character" w:styleId="ab">
    <w:name w:val="Emphasis"/>
    <w:basedOn w:val="a0"/>
    <w:uiPriority w:val="20"/>
    <w:qFormat/>
    <w:rsid w:val="00002A07"/>
    <w:rPr>
      <w:i/>
      <w:iCs/>
    </w:rPr>
  </w:style>
  <w:style w:type="paragraph" w:styleId="ac">
    <w:name w:val="No Spacing"/>
    <w:uiPriority w:val="1"/>
    <w:qFormat/>
    <w:rsid w:val="00002A0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02A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2A0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02A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02A0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02A0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02A0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2A0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02A0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02A0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02A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002A07"/>
    <w:pPr>
      <w:spacing w:after="100"/>
    </w:pPr>
    <w:rPr>
      <w:rFonts w:eastAsiaTheme="minorHAnsi"/>
    </w:rPr>
  </w:style>
  <w:style w:type="character" w:styleId="af5">
    <w:name w:val="Hyperlink"/>
    <w:basedOn w:val="a0"/>
    <w:uiPriority w:val="99"/>
    <w:unhideWhenUsed/>
    <w:rsid w:val="00002A07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qFormat/>
    <w:rsid w:val="00002A07"/>
    <w:pPr>
      <w:spacing w:after="100"/>
      <w:ind w:left="220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02A0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A323-4BE8-4227-BBF6-83DF381A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Нурана Агагусейн кызы</dc:creator>
  <cp:keywords/>
  <dc:description/>
  <cp:lastModifiedBy>Max</cp:lastModifiedBy>
  <cp:revision>6</cp:revision>
  <dcterms:created xsi:type="dcterms:W3CDTF">2022-12-01T00:56:00Z</dcterms:created>
  <dcterms:modified xsi:type="dcterms:W3CDTF">2022-12-15T16:00:00Z</dcterms:modified>
</cp:coreProperties>
</file>