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им. проф. В. Ф. </w:t>
      </w:r>
      <w:proofErr w:type="spellStart"/>
      <w:r w:rsidRPr="008C2AF0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8C2AF0">
        <w:rPr>
          <w:rFonts w:ascii="Times New Roman" w:hAnsi="Times New Roman"/>
          <w:sz w:val="28"/>
          <w:szCs w:val="28"/>
        </w:rPr>
        <w:t>» Минздрава России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Зав. Кафедрой:</w:t>
      </w:r>
      <w:r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Проверил: к.м.н., доцент </w:t>
      </w:r>
      <w:proofErr w:type="spellStart"/>
      <w:r>
        <w:rPr>
          <w:rFonts w:ascii="Times New Roman" w:hAnsi="Times New Roman"/>
          <w:sz w:val="28"/>
          <w:szCs w:val="28"/>
        </w:rPr>
        <w:t>Макарец</w:t>
      </w:r>
      <w:proofErr w:type="spellEnd"/>
      <w:r>
        <w:rPr>
          <w:rFonts w:ascii="Times New Roman" w:hAnsi="Times New Roman"/>
          <w:sz w:val="28"/>
          <w:szCs w:val="28"/>
        </w:rPr>
        <w:t xml:space="preserve"> Б.Г.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C5624" w:rsidRDefault="00FC5624" w:rsidP="00FC562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FC5624" w:rsidRDefault="00FC5624" w:rsidP="00FC562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BB78C6" w:rsidRPr="00BB78C6" w:rsidRDefault="00BB78C6" w:rsidP="00BB78C6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 w:rsidRPr="00BB78C6">
        <w:rPr>
          <w:rFonts w:ascii="Times New Roman" w:hAnsi="Times New Roman"/>
          <w:sz w:val="36"/>
          <w:szCs w:val="36"/>
          <w:shd w:val="clear" w:color="auto" w:fill="FFFFFF" w:themeFill="background1"/>
        </w:rPr>
        <w:t>Гепаторенальный синдром у детей: этиология, патогенез, клиника, тактика ведения, исходы</w:t>
      </w:r>
      <w:r>
        <w:rPr>
          <w:rFonts w:ascii="Times New Roman" w:hAnsi="Times New Roman"/>
          <w:sz w:val="36"/>
          <w:szCs w:val="36"/>
          <w:shd w:val="clear" w:color="auto" w:fill="FFFFFF" w:themeFill="background1"/>
        </w:rPr>
        <w:t>.</w:t>
      </w: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>а: врач-ординатор Масленникова А.А.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Специальность педиатрия, 1 год</w:t>
      </w: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Pr="008C2AF0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2020</w:t>
      </w:r>
      <w:r w:rsidRPr="008C2AF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FC5624" w:rsidRDefault="00FC5624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Введение……………………………………………………………………….</w:t>
      </w:r>
      <w:r w:rsidR="006436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FC5624" w:rsidRDefault="00395BFB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Гепаторенальный синдром…………</w:t>
      </w:r>
      <w:r w:rsidR="00FC5624">
        <w:rPr>
          <w:rFonts w:ascii="Times New Roman" w:hAnsi="Times New Roman"/>
          <w:color w:val="000000"/>
          <w:sz w:val="28"/>
          <w:szCs w:val="28"/>
        </w:rPr>
        <w:t>…….…………………………………</w:t>
      </w:r>
      <w:r w:rsidR="00643676">
        <w:rPr>
          <w:rFonts w:ascii="Times New Roman" w:hAnsi="Times New Roman"/>
          <w:color w:val="000000"/>
          <w:sz w:val="28"/>
          <w:szCs w:val="28"/>
        </w:rPr>
        <w:t>.</w:t>
      </w:r>
      <w:r w:rsidR="00FC5624">
        <w:rPr>
          <w:rFonts w:ascii="Times New Roman" w:hAnsi="Times New Roman"/>
          <w:color w:val="000000"/>
          <w:sz w:val="28"/>
          <w:szCs w:val="28"/>
        </w:rPr>
        <w:t>..4</w:t>
      </w:r>
    </w:p>
    <w:p w:rsidR="00FC5624" w:rsidRDefault="00395BFB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Этиология……………</w:t>
      </w:r>
      <w:r w:rsidR="00643676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……………..……..........4</w:t>
      </w:r>
    </w:p>
    <w:p w:rsidR="00FC5624" w:rsidRPr="004A733A" w:rsidRDefault="00395BFB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Патогенез…………...</w:t>
      </w:r>
      <w:r w:rsidR="00643676">
        <w:rPr>
          <w:rFonts w:ascii="Times New Roman" w:hAnsi="Times New Roman"/>
          <w:sz w:val="28"/>
          <w:szCs w:val="28"/>
        </w:rPr>
        <w:t>…………………………………………………………..</w:t>
      </w:r>
      <w:r w:rsidR="00643676">
        <w:rPr>
          <w:rFonts w:ascii="Times New Roman" w:hAnsi="Times New Roman"/>
          <w:color w:val="000000"/>
          <w:sz w:val="28"/>
          <w:szCs w:val="28"/>
        </w:rPr>
        <w:t>6</w:t>
      </w:r>
    </w:p>
    <w:p w:rsidR="00FC5624" w:rsidRDefault="00395BFB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картина………...</w:t>
      </w:r>
      <w:r w:rsidR="00643676">
        <w:rPr>
          <w:rFonts w:ascii="Times New Roman" w:hAnsi="Times New Roman"/>
          <w:color w:val="000000"/>
          <w:sz w:val="28"/>
          <w:szCs w:val="28"/>
        </w:rPr>
        <w:t>…………….</w:t>
      </w:r>
      <w:r w:rsidR="00FC5624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FC5624" w:rsidRPr="00DA3AA4">
        <w:rPr>
          <w:rFonts w:ascii="Times New Roman" w:hAnsi="Times New Roman"/>
          <w:color w:val="000000"/>
          <w:sz w:val="28"/>
          <w:szCs w:val="28"/>
        </w:rPr>
        <w:t>….……</w:t>
      </w:r>
      <w:r>
        <w:rPr>
          <w:rFonts w:ascii="Times New Roman" w:hAnsi="Times New Roman"/>
          <w:color w:val="000000"/>
          <w:sz w:val="28"/>
          <w:szCs w:val="28"/>
        </w:rPr>
        <w:t>……….9</w:t>
      </w:r>
    </w:p>
    <w:p w:rsidR="00FC5624" w:rsidRDefault="00643676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Диагностика……………………………………………….</w:t>
      </w:r>
      <w:r w:rsidR="00395BFB">
        <w:rPr>
          <w:rFonts w:ascii="Times New Roman" w:hAnsi="Times New Roman"/>
          <w:color w:val="000000"/>
          <w:sz w:val="28"/>
          <w:szCs w:val="28"/>
        </w:rPr>
        <w:t>…………………....9</w:t>
      </w:r>
    </w:p>
    <w:p w:rsidR="00FC5624" w:rsidRPr="00643676" w:rsidRDefault="00B25918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</w:t>
      </w:r>
      <w:r w:rsidR="00643676">
        <w:rPr>
          <w:rFonts w:ascii="Times New Roman" w:hAnsi="Times New Roman"/>
          <w:color w:val="000000"/>
          <w:sz w:val="28"/>
          <w:szCs w:val="28"/>
        </w:rPr>
        <w:t>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………………………..</w:t>
      </w:r>
      <w:r w:rsidR="00643676">
        <w:rPr>
          <w:rFonts w:ascii="Times New Roman" w:hAnsi="Times New Roman"/>
          <w:color w:val="000000"/>
          <w:sz w:val="28"/>
          <w:szCs w:val="28"/>
        </w:rPr>
        <w:t>………..….10</w:t>
      </w:r>
    </w:p>
    <w:p w:rsidR="00FC5624" w:rsidRDefault="00B25918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ведения………………..</w:t>
      </w:r>
      <w:r w:rsidR="00643676">
        <w:rPr>
          <w:rFonts w:ascii="Times New Roman" w:hAnsi="Times New Roman"/>
          <w:sz w:val="28"/>
          <w:szCs w:val="28"/>
        </w:rPr>
        <w:t>……………………………………………..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t>12</w:t>
      </w:r>
    </w:p>
    <w:p w:rsidR="00FC5624" w:rsidRDefault="00B25918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Исходы…………………….…………………………………………….…….15</w:t>
      </w:r>
    </w:p>
    <w:p w:rsidR="00FC5624" w:rsidRDefault="00B25918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Вывод………………..…………………………………………………..……16</w:t>
      </w:r>
    </w:p>
    <w:p w:rsidR="00B25918" w:rsidRPr="00305F2A" w:rsidRDefault="00B25918" w:rsidP="00FC5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литературы…………………………………………………………...17</w:t>
      </w: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43676" w:rsidRDefault="00643676" w:rsidP="00B259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25918" w:rsidRDefault="00B25918" w:rsidP="00B259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11BAA" w:rsidRDefault="00FC5624" w:rsidP="00211B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FC5624" w:rsidRPr="00211BAA" w:rsidRDefault="00211BAA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 </w:t>
      </w:r>
      <w:r w:rsidRPr="00211BAA">
        <w:rPr>
          <w:rFonts w:ascii="Times New Roman" w:hAnsi="Times New Roman"/>
          <w:sz w:val="28"/>
          <w:szCs w:val="28"/>
        </w:rPr>
        <w:t xml:space="preserve">Термин «гепаторенальный синдром» (HRS) описывает необъяснимую причину острой почечной недостаточности при острых или хронических, как правило, прогрессирующих заболеваниях печени. Первые описания возникновения почечной недостаточности на фоне печеночной были сделаны </w:t>
      </w:r>
      <w:proofErr w:type="spellStart"/>
      <w:r w:rsidRPr="00211BAA">
        <w:rPr>
          <w:rFonts w:ascii="Times New Roman" w:hAnsi="Times New Roman"/>
          <w:sz w:val="28"/>
          <w:szCs w:val="28"/>
        </w:rPr>
        <w:t>Frerichs</w:t>
      </w:r>
      <w:proofErr w:type="spellEnd"/>
      <w:r w:rsidRPr="00211BAA">
        <w:rPr>
          <w:rFonts w:ascii="Times New Roman" w:hAnsi="Times New Roman"/>
          <w:sz w:val="28"/>
          <w:szCs w:val="28"/>
        </w:rPr>
        <w:t xml:space="preserve"> в 1861 году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BAA">
        <w:rPr>
          <w:rFonts w:ascii="Times New Roman" w:hAnsi="Times New Roman"/>
          <w:sz w:val="28"/>
          <w:szCs w:val="28"/>
        </w:rPr>
        <w:t>Flint</w:t>
      </w:r>
      <w:proofErr w:type="spellEnd"/>
      <w:r w:rsidRPr="00211BAA">
        <w:rPr>
          <w:rFonts w:ascii="Times New Roman" w:hAnsi="Times New Roman"/>
          <w:sz w:val="28"/>
          <w:szCs w:val="28"/>
        </w:rPr>
        <w:t xml:space="preserve"> в 1863 году. HRS обычно выявляется уже после госпитализации без каких-либо явных предрасполагающих факторов. Клинически выделяют две формы HRS: в HRS 1 типа прогрессирующее ухудшение функции почек происходит в течение нескольких дней. У 2 типа HRS функция почек остается на стабильным </w:t>
      </w:r>
      <w:proofErr w:type="gramStart"/>
      <w:r w:rsidRPr="00211BAA">
        <w:rPr>
          <w:rFonts w:ascii="Times New Roman" w:hAnsi="Times New Roman"/>
          <w:sz w:val="28"/>
          <w:szCs w:val="28"/>
        </w:rPr>
        <w:t>уровне</w:t>
      </w:r>
      <w:proofErr w:type="gramEnd"/>
      <w:r w:rsidRPr="00211BAA">
        <w:rPr>
          <w:rFonts w:ascii="Times New Roman" w:hAnsi="Times New Roman"/>
          <w:sz w:val="28"/>
          <w:szCs w:val="28"/>
        </w:rPr>
        <w:t xml:space="preserve">, либо наблюдается постепенное снижение в течение нескольких месяцев. Как правило, HRS возникает, когда асцит достигает максимума и диагностируется печеночная энцефалопатия, но наличие желтухи необязательно. Почечная недостаточность проявляется в виде </w:t>
      </w:r>
      <w:proofErr w:type="spellStart"/>
      <w:r w:rsidRPr="00211BAA">
        <w:rPr>
          <w:rFonts w:ascii="Times New Roman" w:hAnsi="Times New Roman"/>
          <w:sz w:val="28"/>
          <w:szCs w:val="28"/>
        </w:rPr>
        <w:t>олигурии</w:t>
      </w:r>
      <w:proofErr w:type="spellEnd"/>
      <w:r w:rsidRPr="00211BAA">
        <w:rPr>
          <w:rFonts w:ascii="Times New Roman" w:hAnsi="Times New Roman"/>
          <w:sz w:val="28"/>
          <w:szCs w:val="28"/>
        </w:rPr>
        <w:t xml:space="preserve"> и спонтанно обратима только в 2,0–10,0 % случаев. </w:t>
      </w:r>
    </w:p>
    <w:p w:rsidR="0068293E" w:rsidRDefault="0068293E"/>
    <w:p w:rsidR="00FC5624" w:rsidRDefault="00FC5624"/>
    <w:p w:rsidR="00FC5624" w:rsidRDefault="00FC5624"/>
    <w:p w:rsidR="00FC5624" w:rsidRDefault="00FC5624"/>
    <w:p w:rsidR="00FC5624" w:rsidRDefault="00FC5624"/>
    <w:p w:rsidR="00FC5624" w:rsidRDefault="00FC5624"/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5624" w:rsidRDefault="00FC5624" w:rsidP="00FC56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3677" w:rsidRDefault="00233677" w:rsidP="002336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3676" w:rsidRDefault="00643676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76" w:rsidRDefault="00643676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11BAA">
        <w:rPr>
          <w:rFonts w:ascii="Times New Roman" w:hAnsi="Times New Roman"/>
          <w:sz w:val="28"/>
          <w:szCs w:val="28"/>
        </w:rPr>
        <w:t xml:space="preserve">Гепаторенальный синдром (ГРС) – это осложнение, развивающееся у больных с асцитом, ассоциированным с циррозом печени, и носящее характер функциональной почечной недостаточности в отсутствие паренхиматозных заболеваний почек. </w:t>
      </w:r>
    </w:p>
    <w:p w:rsidR="00211BAA" w:rsidRDefault="00211BAA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211BAA">
        <w:rPr>
          <w:rFonts w:ascii="Times New Roman" w:hAnsi="Times New Roman"/>
          <w:sz w:val="28"/>
          <w:szCs w:val="28"/>
        </w:rPr>
        <w:t xml:space="preserve">Различают два типа HRS: у HRS 1 типа быстрое и прогрессивное увеличение </w:t>
      </w:r>
      <w:proofErr w:type="spellStart"/>
      <w:r w:rsidRPr="00211BAA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211BAA">
        <w:rPr>
          <w:rFonts w:ascii="Times New Roman" w:hAnsi="Times New Roman"/>
          <w:sz w:val="28"/>
          <w:szCs w:val="28"/>
        </w:rPr>
        <w:t xml:space="preserve"> и мочевины плазмы крови наблюдаются в течение суток. Прогноз HRS 1 типа без </w:t>
      </w:r>
      <w:proofErr w:type="spellStart"/>
      <w:r w:rsidRPr="00211BAA">
        <w:rPr>
          <w:rFonts w:ascii="Times New Roman" w:hAnsi="Times New Roman"/>
          <w:sz w:val="28"/>
          <w:szCs w:val="28"/>
        </w:rPr>
        <w:t>ортотопической</w:t>
      </w:r>
      <w:proofErr w:type="spellEnd"/>
      <w:r w:rsidRPr="00211BAA">
        <w:rPr>
          <w:rFonts w:ascii="Times New Roman" w:hAnsi="Times New Roman"/>
          <w:sz w:val="28"/>
          <w:szCs w:val="28"/>
        </w:rPr>
        <w:t xml:space="preserve"> трансплантации печени неблагоприятный – отмечается смертность 95,0 % пациентов вследствие быстрого ухудшения функции почек в течение нескольких недель, около 50,0 % больных умирают быстрее, чем за 2 недели, менее 10,0 % остаются живы свыше 8 недель. Пациенты с HRS 2 типа имеют более благоприятный прогноз. Основным клиническим симптомом является резистентный к терапии асцит, снижается скорость клубочковой фильтрации, а </w:t>
      </w:r>
      <w:proofErr w:type="spellStart"/>
      <w:r w:rsidRPr="00211BAA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211BAA">
        <w:rPr>
          <w:rFonts w:ascii="Times New Roman" w:hAnsi="Times New Roman"/>
          <w:sz w:val="28"/>
          <w:szCs w:val="28"/>
        </w:rPr>
        <w:t xml:space="preserve"> сыворотки и сывороточная мочевина умеренно повышаются. Однако прогноз в данном случае значительно хуже, чем у пациентов с циррозом без почечной недостаточности.</w:t>
      </w:r>
    </w:p>
    <w:p w:rsid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04AB">
        <w:rPr>
          <w:rFonts w:ascii="Times New Roman" w:hAnsi="Times New Roman"/>
          <w:b/>
          <w:sz w:val="28"/>
          <w:szCs w:val="28"/>
        </w:rPr>
        <w:t>Этиология</w:t>
      </w:r>
    </w:p>
    <w:p w:rsidR="00733546" w:rsidRP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733546" w:rsidRPr="001F403E">
        <w:rPr>
          <w:rFonts w:ascii="Times New Roman" w:hAnsi="Times New Roman"/>
          <w:sz w:val="28"/>
          <w:szCs w:val="28"/>
          <w:shd w:val="clear" w:color="auto" w:fill="FFFFFF"/>
        </w:rPr>
        <w:t>Причины гепаторенального синдрома</w:t>
      </w:r>
      <w:r w:rsidR="00733546" w:rsidRPr="001F403E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  у детей</w:t>
      </w:r>
      <w:r w:rsidR="00733546" w:rsidRPr="001F403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F403E" w:rsidRPr="001F403E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- печеночная недостаточность вследствие острого вирусного гепатита (основная причина 50% случаев);</w:t>
      </w:r>
    </w:p>
    <w:p w:rsidR="001F403E" w:rsidRP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03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33546" w:rsidRPr="001F403E">
        <w:rPr>
          <w:rFonts w:ascii="Times New Roman" w:hAnsi="Times New Roman"/>
          <w:sz w:val="28"/>
          <w:szCs w:val="28"/>
          <w:shd w:val="clear" w:color="auto" w:fill="FFFFFF"/>
        </w:rPr>
        <w:t>хронические заболевания печени вследствие атрезии желчных путей; </w:t>
      </w:r>
    </w:p>
    <w:p w:rsidR="001F403E" w:rsidRPr="001F403E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Pr="001F403E">
        <w:rPr>
          <w:rFonts w:ascii="Times New Roman" w:hAnsi="Times New Roman"/>
          <w:sz w:val="28"/>
          <w:szCs w:val="28"/>
        </w:rPr>
        <w:t>болезнь Вильсона</w:t>
      </w: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F403E" w:rsidRPr="001F403E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- злокачественные новообразования;</w:t>
      </w:r>
    </w:p>
    <w:p w:rsidR="001F403E" w:rsidRPr="001F403E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- аутоиммунный гепатит;</w:t>
      </w:r>
    </w:p>
    <w:p w:rsidR="001F403E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- прием парацетамола.</w:t>
      </w:r>
    </w:p>
    <w:p w:rsidR="001F403E" w:rsidRP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E04AB">
        <w:rPr>
          <w:rFonts w:ascii="Times New Roman" w:hAnsi="Times New Roman"/>
          <w:sz w:val="28"/>
          <w:szCs w:val="28"/>
        </w:rPr>
        <w:t>Заболевания, которые провоцируют развитие острой печеночно-почечной недостаточности</w:t>
      </w:r>
      <w:r w:rsidR="00AE38A6">
        <w:rPr>
          <w:rFonts w:ascii="Times New Roman" w:hAnsi="Times New Roman"/>
          <w:sz w:val="28"/>
          <w:szCs w:val="28"/>
        </w:rPr>
        <w:t xml:space="preserve"> (ОППН)</w:t>
      </w:r>
      <w:r w:rsidRPr="008E04AB">
        <w:rPr>
          <w:rFonts w:ascii="Times New Roman" w:hAnsi="Times New Roman"/>
          <w:sz w:val="28"/>
          <w:szCs w:val="28"/>
        </w:rPr>
        <w:t xml:space="preserve">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lastRenderedPageBreak/>
        <w:t xml:space="preserve">— цирроз печени (при наличии пищеводно-желудочно-кишечного кровотечения, асцита, печеночной энцефалопатии);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8E04AB">
        <w:rPr>
          <w:rFonts w:ascii="Times New Roman" w:hAnsi="Times New Roman"/>
          <w:sz w:val="28"/>
          <w:szCs w:val="28"/>
        </w:rPr>
        <w:t>фульминантная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печеночная недостаточность; </w:t>
      </w:r>
    </w:p>
    <w:p w:rsid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>— ОВГ</w:t>
      </w:r>
      <w:r w:rsidR="00AE38A6">
        <w:rPr>
          <w:rFonts w:ascii="Times New Roman" w:hAnsi="Times New Roman"/>
          <w:sz w:val="28"/>
          <w:szCs w:val="28"/>
        </w:rPr>
        <w:t xml:space="preserve"> – острый вирусный гепатит</w:t>
      </w:r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AE38A6" w:rsidRPr="008E04AB" w:rsidRDefault="00AE38A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аутоиммунный гепатит;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гепатоцеллюлярная карцинома;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метастатическое поражение и </w:t>
      </w:r>
      <w:proofErr w:type="spellStart"/>
      <w:r w:rsidRPr="008E04AB">
        <w:rPr>
          <w:rFonts w:ascii="Times New Roman" w:hAnsi="Times New Roman"/>
          <w:sz w:val="28"/>
          <w:szCs w:val="28"/>
        </w:rPr>
        <w:t>онкозаболевания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печени;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8E04AB">
        <w:rPr>
          <w:rFonts w:ascii="Times New Roman" w:hAnsi="Times New Roman"/>
          <w:sz w:val="28"/>
          <w:szCs w:val="28"/>
        </w:rPr>
        <w:t>гемигепатэктомия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острая жировая печень беременных.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   Кроме этих </w:t>
      </w:r>
      <w:proofErr w:type="spellStart"/>
      <w:r w:rsidRPr="008E04AB">
        <w:rPr>
          <w:rFonts w:ascii="Times New Roman" w:hAnsi="Times New Roman"/>
          <w:sz w:val="28"/>
          <w:szCs w:val="28"/>
        </w:rPr>
        <w:t>назологий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поражение печени и почек отмечаются: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при врожденных нарушениях: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поликистоз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печени и почек;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врожденный фиброз печени;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при нарушении метаболизма: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СД;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острая </w:t>
      </w:r>
      <w:proofErr w:type="spellStart"/>
      <w:r w:rsidRPr="008E04AB">
        <w:rPr>
          <w:rFonts w:ascii="Times New Roman" w:hAnsi="Times New Roman"/>
          <w:sz w:val="28"/>
          <w:szCs w:val="28"/>
        </w:rPr>
        <w:t>интермиттирующая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AB">
        <w:rPr>
          <w:rFonts w:ascii="Times New Roman" w:hAnsi="Times New Roman"/>
          <w:sz w:val="28"/>
          <w:szCs w:val="28"/>
        </w:rPr>
        <w:t>порфирия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амилоидоз;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эклампсия;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синдром Рея;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гликогенез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I типа;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тирозинемия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болезнь Вильсона;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при системных заболеваниях: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ревматоидный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артрит;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системная красная волчанка;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саркоидоз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при инфекционных заболеваниях: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лептоспироз;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амарильоз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анаплазмоз;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легионелез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сепсис;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вирусные гепатиты;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при </w:t>
      </w:r>
      <w:proofErr w:type="spellStart"/>
      <w:r w:rsidRPr="008E04AB">
        <w:rPr>
          <w:rFonts w:ascii="Times New Roman" w:hAnsi="Times New Roman"/>
          <w:sz w:val="28"/>
          <w:szCs w:val="28"/>
        </w:rPr>
        <w:t>циркуляторных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нарушениях: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циркуляторный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 шок;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сердечная недостаточность;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— во время интоксикации: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гипертермия;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E04AB">
        <w:rPr>
          <w:rFonts w:ascii="Times New Roman" w:hAnsi="Times New Roman"/>
          <w:sz w:val="28"/>
          <w:szCs w:val="28"/>
        </w:rPr>
        <w:t>микотоксины</w:t>
      </w:r>
      <w:proofErr w:type="spellEnd"/>
      <w:r w:rsidRPr="008E04AB">
        <w:rPr>
          <w:rFonts w:ascii="Times New Roman" w:hAnsi="Times New Roman"/>
          <w:sz w:val="28"/>
          <w:szCs w:val="28"/>
        </w:rPr>
        <w:t xml:space="preserve">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змеиный яд; </w:t>
      </w:r>
    </w:p>
    <w:p w:rsidR="008E04AB" w:rsidRPr="008E04AB" w:rsidRDefault="008E04AB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 xml:space="preserve">• химические; </w:t>
      </w:r>
    </w:p>
    <w:p w:rsidR="008E04AB" w:rsidRDefault="00AE38A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4A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прием парацетамола </w:t>
      </w:r>
    </w:p>
    <w:p w:rsidR="00AE38A6" w:rsidRDefault="00AE38A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8A6" w:rsidRPr="00AE38A6" w:rsidRDefault="00AE38A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E38A6">
        <w:rPr>
          <w:rFonts w:ascii="Times New Roman" w:hAnsi="Times New Roman"/>
          <w:b/>
          <w:sz w:val="28"/>
          <w:szCs w:val="28"/>
        </w:rPr>
        <w:t>Патогенез</w:t>
      </w:r>
    </w:p>
    <w:p w:rsidR="00853CFD" w:rsidRDefault="00AE38A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38A6">
        <w:rPr>
          <w:rFonts w:ascii="Times New Roman" w:hAnsi="Times New Roman"/>
          <w:sz w:val="28"/>
          <w:szCs w:val="28"/>
        </w:rPr>
        <w:t xml:space="preserve">Патологические механизмы </w:t>
      </w:r>
      <w:r>
        <w:rPr>
          <w:rFonts w:ascii="Times New Roman" w:hAnsi="Times New Roman"/>
          <w:sz w:val="28"/>
          <w:szCs w:val="28"/>
        </w:rPr>
        <w:t>ГРС</w:t>
      </w:r>
      <w:r w:rsidRPr="00AE38A6">
        <w:rPr>
          <w:rFonts w:ascii="Times New Roman" w:hAnsi="Times New Roman"/>
          <w:sz w:val="28"/>
          <w:szCs w:val="28"/>
        </w:rPr>
        <w:t xml:space="preserve"> можно назвать д</w:t>
      </w:r>
      <w:r w:rsidR="00853CFD">
        <w:rPr>
          <w:rFonts w:ascii="Times New Roman" w:hAnsi="Times New Roman"/>
          <w:sz w:val="28"/>
          <w:szCs w:val="28"/>
        </w:rPr>
        <w:t>остаточно сложными</w:t>
      </w:r>
      <w:r w:rsidRPr="00AE38A6">
        <w:rPr>
          <w:rFonts w:ascii="Times New Roman" w:hAnsi="Times New Roman"/>
          <w:sz w:val="28"/>
          <w:szCs w:val="28"/>
        </w:rPr>
        <w:t xml:space="preserve">. </w:t>
      </w:r>
      <w:r w:rsidR="00853CFD">
        <w:rPr>
          <w:rFonts w:ascii="Times New Roman" w:hAnsi="Times New Roman"/>
          <w:sz w:val="28"/>
          <w:szCs w:val="28"/>
        </w:rPr>
        <w:t>ГРС</w:t>
      </w:r>
      <w:r w:rsidRPr="00AE38A6">
        <w:rPr>
          <w:rFonts w:ascii="Times New Roman" w:hAnsi="Times New Roman"/>
          <w:sz w:val="28"/>
          <w:szCs w:val="28"/>
        </w:rPr>
        <w:t xml:space="preserve"> является функциональным состоянием, которое характеризуется почечной </w:t>
      </w:r>
      <w:proofErr w:type="spellStart"/>
      <w:r w:rsidRPr="00AE38A6">
        <w:rPr>
          <w:rFonts w:ascii="Times New Roman" w:hAnsi="Times New Roman"/>
          <w:sz w:val="28"/>
          <w:szCs w:val="28"/>
        </w:rPr>
        <w:t>гипоперфузией</w:t>
      </w:r>
      <w:proofErr w:type="spellEnd"/>
      <w:r w:rsidRPr="00AE38A6">
        <w:rPr>
          <w:rFonts w:ascii="Times New Roman" w:hAnsi="Times New Roman"/>
          <w:sz w:val="28"/>
          <w:szCs w:val="28"/>
        </w:rPr>
        <w:t>, преимущественно в корковом веществе. Гистоморфологические изменения в почках носят исключит</w:t>
      </w:r>
      <w:r w:rsidR="00853CFD">
        <w:rPr>
          <w:rFonts w:ascii="Times New Roman" w:hAnsi="Times New Roman"/>
          <w:sz w:val="28"/>
          <w:szCs w:val="28"/>
        </w:rPr>
        <w:t>ельно дискретный характер</w:t>
      </w:r>
      <w:r w:rsidRPr="00AE38A6">
        <w:rPr>
          <w:rFonts w:ascii="Times New Roman" w:hAnsi="Times New Roman"/>
          <w:sz w:val="28"/>
          <w:szCs w:val="28"/>
        </w:rPr>
        <w:t xml:space="preserve">. </w:t>
      </w:r>
      <w:r w:rsidR="00853CFD">
        <w:rPr>
          <w:rFonts w:ascii="Times New Roman" w:hAnsi="Times New Roman"/>
          <w:sz w:val="28"/>
          <w:szCs w:val="28"/>
        </w:rPr>
        <w:t>ГРС</w:t>
      </w:r>
      <w:r w:rsidRPr="00AE38A6">
        <w:rPr>
          <w:rFonts w:ascii="Times New Roman" w:hAnsi="Times New Roman"/>
          <w:sz w:val="28"/>
          <w:szCs w:val="28"/>
        </w:rPr>
        <w:t xml:space="preserve"> как функциональное состояние предполагает, что почечная дисфункция, как правило, обратима после рекомбинации печени или успешной трансплантации, а также что почки пациентов с </w:t>
      </w:r>
      <w:r w:rsidR="00853CFD">
        <w:rPr>
          <w:rFonts w:ascii="Times New Roman" w:hAnsi="Times New Roman"/>
          <w:sz w:val="28"/>
          <w:szCs w:val="28"/>
        </w:rPr>
        <w:t>ГРС</w:t>
      </w:r>
      <w:r w:rsidRPr="00AE38A6">
        <w:rPr>
          <w:rFonts w:ascii="Times New Roman" w:hAnsi="Times New Roman"/>
          <w:sz w:val="28"/>
          <w:szCs w:val="28"/>
        </w:rPr>
        <w:t xml:space="preserve"> чаще всего имеют нормальную функцию после трансплантации здоро</w:t>
      </w:r>
      <w:r w:rsidR="00853CFD">
        <w:rPr>
          <w:rFonts w:ascii="Times New Roman" w:hAnsi="Times New Roman"/>
          <w:sz w:val="28"/>
          <w:szCs w:val="28"/>
        </w:rPr>
        <w:t>вым добровольцем. Изменения, наблюдаемые при ГРС</w:t>
      </w:r>
      <w:r w:rsidRPr="00AE38A6">
        <w:rPr>
          <w:rFonts w:ascii="Times New Roman" w:hAnsi="Times New Roman"/>
          <w:sz w:val="28"/>
          <w:szCs w:val="28"/>
        </w:rPr>
        <w:t>, в основном объясняются теорией затухания и теорией переполнения</w:t>
      </w:r>
      <w:r w:rsidR="00853CFD">
        <w:rPr>
          <w:rFonts w:ascii="Times New Roman" w:hAnsi="Times New Roman"/>
          <w:sz w:val="28"/>
          <w:szCs w:val="28"/>
        </w:rPr>
        <w:t xml:space="preserve">.   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8A6" w:rsidRPr="00AE38A6">
        <w:rPr>
          <w:rFonts w:ascii="Times New Roman" w:hAnsi="Times New Roman"/>
          <w:sz w:val="28"/>
          <w:szCs w:val="28"/>
        </w:rPr>
        <w:t xml:space="preserve">Теория затухания предполагает, что уменьшение сопротивления в периферической сосудистой системе вместе с развитием асцита, портальной гипертензией и пониженным коллоидным осмотическим давлением в плазме последовательно вызывает значительное увеличение почечного натрия и воды. 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E38A6" w:rsidRPr="00AE38A6">
        <w:rPr>
          <w:rFonts w:ascii="Times New Roman" w:hAnsi="Times New Roman"/>
          <w:sz w:val="28"/>
          <w:szCs w:val="28"/>
        </w:rPr>
        <w:t xml:space="preserve">Теория переполнения считает первичным событием выраженную периферическую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вазодилатацию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, приводящую к удержанию натрия и воды, а также к чрезмерному повышению концентрации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вазоактивных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веществ с ум</w:t>
      </w:r>
      <w:r>
        <w:rPr>
          <w:rFonts w:ascii="Times New Roman" w:hAnsi="Times New Roman"/>
          <w:sz w:val="28"/>
          <w:szCs w:val="28"/>
        </w:rPr>
        <w:t>еньшением почечной перфузии</w:t>
      </w:r>
      <w:r w:rsidR="00AE38A6" w:rsidRPr="00AE38A6">
        <w:rPr>
          <w:rFonts w:ascii="Times New Roman" w:hAnsi="Times New Roman"/>
          <w:sz w:val="28"/>
          <w:szCs w:val="28"/>
        </w:rPr>
        <w:t>. Согласно данной теории, последующим событием является чрезмерное удержание натрия и воды почками, возможно, сопряженное с увеличением уровня антидиуретического гормона (ADH) в сыв</w:t>
      </w:r>
      <w:r>
        <w:rPr>
          <w:rFonts w:ascii="Times New Roman" w:hAnsi="Times New Roman"/>
          <w:sz w:val="28"/>
          <w:szCs w:val="28"/>
        </w:rPr>
        <w:t>оротке и развитием асцита</w:t>
      </w:r>
      <w:r w:rsidR="00AE38A6" w:rsidRPr="00AE38A6">
        <w:rPr>
          <w:rFonts w:ascii="Times New Roman" w:hAnsi="Times New Roman"/>
          <w:sz w:val="28"/>
          <w:szCs w:val="28"/>
        </w:rPr>
        <w:t>. Исследования на животных указывают на наличие гепаторенального рефлекса, который при портальной гипертензии отвечает за удержание натрия и воды с помощью гуморал</w:t>
      </w:r>
      <w:r>
        <w:rPr>
          <w:rFonts w:ascii="Times New Roman" w:hAnsi="Times New Roman"/>
          <w:sz w:val="28"/>
          <w:szCs w:val="28"/>
        </w:rPr>
        <w:t>ьных и нейронных механизмов</w:t>
      </w:r>
      <w:r w:rsidR="00AE38A6" w:rsidRPr="00AE38A6">
        <w:rPr>
          <w:rFonts w:ascii="Times New Roman" w:hAnsi="Times New Roman"/>
          <w:sz w:val="28"/>
          <w:szCs w:val="28"/>
        </w:rPr>
        <w:t xml:space="preserve">. 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8A6" w:rsidRPr="00AE38A6">
        <w:rPr>
          <w:rFonts w:ascii="Times New Roman" w:hAnsi="Times New Roman"/>
          <w:sz w:val="28"/>
          <w:szCs w:val="28"/>
        </w:rPr>
        <w:t xml:space="preserve">Почечная недостаточность при </w:t>
      </w:r>
      <w:r>
        <w:rPr>
          <w:rFonts w:ascii="Times New Roman" w:hAnsi="Times New Roman"/>
          <w:sz w:val="28"/>
          <w:szCs w:val="28"/>
        </w:rPr>
        <w:t>ГРС</w:t>
      </w:r>
      <w:r w:rsidR="00AE38A6" w:rsidRPr="00AE38A6">
        <w:rPr>
          <w:rFonts w:ascii="Times New Roman" w:hAnsi="Times New Roman"/>
          <w:sz w:val="28"/>
          <w:szCs w:val="28"/>
        </w:rPr>
        <w:t xml:space="preserve"> зависит от объема плазмы, артериальной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, сердечного выброса, индуцированного асцитом внутрибрюшного и почечного венозного давления, а также последующих нарушений.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Ренин-ангиотензиновая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система в данном случае чрезвычайно активна и поддерживает почки в состоянии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вазоконстрикции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. Снижение печеночной деградации ренина может быть важным фактором при циррозе печени, но активация системы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ренин-ангиотензина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вследствие первичной почечной недостаточности почек и/или уменьшение эффективного объема плазмы все-таки считается более важным фак</w:t>
      </w:r>
      <w:r>
        <w:rPr>
          <w:rFonts w:ascii="Times New Roman" w:hAnsi="Times New Roman"/>
          <w:sz w:val="28"/>
          <w:szCs w:val="28"/>
        </w:rPr>
        <w:t>тором</w:t>
      </w:r>
      <w:r w:rsidR="00AE38A6" w:rsidRPr="00AE38A6">
        <w:rPr>
          <w:rFonts w:ascii="Times New Roman" w:hAnsi="Times New Roman"/>
          <w:sz w:val="28"/>
          <w:szCs w:val="28"/>
        </w:rPr>
        <w:t xml:space="preserve">. В любом случае активация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ренин-ангиотензиновой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системы имеет важные последствия, поскольку она снижает скорость перфузии почек и</w:t>
      </w:r>
      <w:r>
        <w:rPr>
          <w:rFonts w:ascii="Times New Roman" w:hAnsi="Times New Roman"/>
          <w:sz w:val="28"/>
          <w:szCs w:val="28"/>
        </w:rPr>
        <w:t xml:space="preserve"> клубочковую фильтрацию</w:t>
      </w:r>
      <w:r w:rsidR="00AE38A6" w:rsidRPr="00AE38A6">
        <w:rPr>
          <w:rFonts w:ascii="Times New Roman" w:hAnsi="Times New Roman"/>
          <w:sz w:val="28"/>
          <w:szCs w:val="28"/>
        </w:rPr>
        <w:t xml:space="preserve">. За счет уменьшения эффективного объема плазмы происходит активация симпатической нервной системы, что, в свою очередь, также приводит к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вазоконстрикции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почек и снижению ско</w:t>
      </w:r>
      <w:r>
        <w:rPr>
          <w:rFonts w:ascii="Times New Roman" w:hAnsi="Times New Roman"/>
          <w:sz w:val="28"/>
          <w:szCs w:val="28"/>
        </w:rPr>
        <w:t>рости клубочковой фильтрации</w:t>
      </w:r>
      <w:r w:rsidR="00AE38A6" w:rsidRPr="00AE38A6">
        <w:rPr>
          <w:rFonts w:ascii="Times New Roman" w:hAnsi="Times New Roman"/>
          <w:sz w:val="28"/>
          <w:szCs w:val="28"/>
        </w:rPr>
        <w:t xml:space="preserve">. 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8A6" w:rsidRPr="00AE38A6">
        <w:rPr>
          <w:rFonts w:ascii="Times New Roman" w:hAnsi="Times New Roman"/>
          <w:sz w:val="28"/>
          <w:szCs w:val="28"/>
        </w:rPr>
        <w:t xml:space="preserve">При циррозе печени и </w:t>
      </w:r>
      <w:r>
        <w:rPr>
          <w:rFonts w:ascii="Times New Roman" w:hAnsi="Times New Roman"/>
          <w:sz w:val="28"/>
          <w:szCs w:val="28"/>
        </w:rPr>
        <w:t>ГРС</w:t>
      </w:r>
      <w:r w:rsidR="00AE38A6" w:rsidRPr="00AE38A6">
        <w:rPr>
          <w:rFonts w:ascii="Times New Roman" w:hAnsi="Times New Roman"/>
          <w:sz w:val="28"/>
          <w:szCs w:val="28"/>
        </w:rPr>
        <w:t xml:space="preserve"> наблюдаются сдвиги в уровнях почечных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эйкозаноидов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с уменьшением синтеза сосудорасширяющих простагландинов и увеличением выработки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вазоконстрикторных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тромбоксанов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. 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8A6" w:rsidRPr="00AE38A6">
        <w:rPr>
          <w:rFonts w:ascii="Times New Roman" w:hAnsi="Times New Roman"/>
          <w:sz w:val="28"/>
          <w:szCs w:val="28"/>
        </w:rPr>
        <w:t xml:space="preserve">Другим признаком изменений, которые уже существовали до наступления </w:t>
      </w:r>
      <w:r>
        <w:rPr>
          <w:rFonts w:ascii="Times New Roman" w:hAnsi="Times New Roman"/>
          <w:sz w:val="28"/>
          <w:szCs w:val="28"/>
        </w:rPr>
        <w:t>ГРС</w:t>
      </w:r>
      <w:r w:rsidR="00AE38A6" w:rsidRPr="00AE38A6">
        <w:rPr>
          <w:rFonts w:ascii="Times New Roman" w:hAnsi="Times New Roman"/>
          <w:sz w:val="28"/>
          <w:szCs w:val="28"/>
        </w:rPr>
        <w:t xml:space="preserve">, является ухудшение функции почек после введения нестероидных </w:t>
      </w:r>
      <w:r w:rsidR="00AE38A6" w:rsidRPr="00AE38A6">
        <w:rPr>
          <w:rFonts w:ascii="Times New Roman" w:hAnsi="Times New Roman"/>
          <w:sz w:val="28"/>
          <w:szCs w:val="28"/>
        </w:rPr>
        <w:lastRenderedPageBreak/>
        <w:t>проти</w:t>
      </w:r>
      <w:r>
        <w:rPr>
          <w:rFonts w:ascii="Times New Roman" w:hAnsi="Times New Roman"/>
          <w:sz w:val="28"/>
          <w:szCs w:val="28"/>
        </w:rPr>
        <w:t>вовоспалительных препаратов</w:t>
      </w:r>
      <w:r w:rsidR="00AE38A6" w:rsidRPr="00AE38A6">
        <w:rPr>
          <w:rFonts w:ascii="Times New Roman" w:hAnsi="Times New Roman"/>
          <w:sz w:val="28"/>
          <w:szCs w:val="28"/>
        </w:rPr>
        <w:t xml:space="preserve">. У пациентов с прогрессирующим циррозом печени гемодинамические расстройства проявляются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гипердинамической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циркуляцией с учащением сердечного ритма и увеличением сердечного выброса при пониженном артериальном давлении и сниженной периферической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>. Причинами данных расстрой</w:t>
      </w:r>
      <w:proofErr w:type="gramStart"/>
      <w:r w:rsidR="00AE38A6" w:rsidRPr="00AE38A6">
        <w:rPr>
          <w:rFonts w:ascii="Times New Roman" w:hAnsi="Times New Roman"/>
          <w:sz w:val="28"/>
          <w:szCs w:val="28"/>
        </w:rPr>
        <w:t>ств сч</w:t>
      </w:r>
      <w:proofErr w:type="gramEnd"/>
      <w:r w:rsidR="00AE38A6" w:rsidRPr="00AE38A6">
        <w:rPr>
          <w:rFonts w:ascii="Times New Roman" w:hAnsi="Times New Roman"/>
          <w:sz w:val="28"/>
          <w:szCs w:val="28"/>
        </w:rPr>
        <w:t>итаются различные вазодилататоры, особенно окс</w:t>
      </w:r>
      <w:r>
        <w:rPr>
          <w:rFonts w:ascii="Times New Roman" w:hAnsi="Times New Roman"/>
          <w:sz w:val="28"/>
          <w:szCs w:val="28"/>
        </w:rPr>
        <w:t>ид азота (NO)</w:t>
      </w:r>
      <w:r w:rsidR="00AE38A6" w:rsidRPr="00AE38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Эндотелины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(ET-1, ET-2, ET-3) представляют собой пептидные гормоны, которые оказывают сильное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вазоконстрикторное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действие на почки. При </w:t>
      </w:r>
      <w:r>
        <w:rPr>
          <w:rFonts w:ascii="Times New Roman" w:hAnsi="Times New Roman"/>
          <w:sz w:val="28"/>
          <w:szCs w:val="28"/>
        </w:rPr>
        <w:t>ГРС</w:t>
      </w:r>
      <w:r w:rsidR="00AE38A6" w:rsidRPr="00AE38A6">
        <w:rPr>
          <w:rFonts w:ascii="Times New Roman" w:hAnsi="Times New Roman"/>
          <w:sz w:val="28"/>
          <w:szCs w:val="28"/>
        </w:rPr>
        <w:t xml:space="preserve"> концентрация в плазме ET-2 и ET-3 заметно повышается до уровней, которые также снижают скорость</w:t>
      </w:r>
      <w:r>
        <w:rPr>
          <w:rFonts w:ascii="Times New Roman" w:hAnsi="Times New Roman"/>
          <w:sz w:val="28"/>
          <w:szCs w:val="28"/>
        </w:rPr>
        <w:t xml:space="preserve"> клубочковой фильтрации</w:t>
      </w:r>
      <w:r w:rsidR="00AE38A6" w:rsidRPr="00AE38A6">
        <w:rPr>
          <w:rFonts w:ascii="Times New Roman" w:hAnsi="Times New Roman"/>
          <w:sz w:val="28"/>
          <w:szCs w:val="28"/>
        </w:rPr>
        <w:t xml:space="preserve">. У пациентов с алиментарным циррозом изменения не обходят стороной и почечную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калликреин-кининовую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систему. Из-за наличия физиологического сосудорасширяющего эффекта почечных сосудов у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брадикининов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данный факт</w:t>
      </w:r>
      <w:r>
        <w:rPr>
          <w:rFonts w:ascii="Times New Roman" w:hAnsi="Times New Roman"/>
          <w:sz w:val="28"/>
          <w:szCs w:val="28"/>
        </w:rPr>
        <w:t xml:space="preserve"> может быть очень актуальным</w:t>
      </w:r>
      <w:r w:rsidR="00AE38A6" w:rsidRPr="00AE38A6">
        <w:rPr>
          <w:rFonts w:ascii="Times New Roman" w:hAnsi="Times New Roman"/>
          <w:sz w:val="28"/>
          <w:szCs w:val="28"/>
        </w:rPr>
        <w:t xml:space="preserve">. Эндотоксины и бактериальные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липополисахариды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являются мощными вазоконстрикторами почек. Они повышаются при прогрессировании заболевания </w:t>
      </w:r>
      <w:r>
        <w:rPr>
          <w:rFonts w:ascii="Times New Roman" w:hAnsi="Times New Roman"/>
          <w:sz w:val="28"/>
          <w:szCs w:val="28"/>
        </w:rPr>
        <w:t>печени и могут высвобождать оксид азота</w:t>
      </w:r>
      <w:r w:rsidR="00AE38A6" w:rsidRPr="00AE38A6">
        <w:rPr>
          <w:rFonts w:ascii="Times New Roman" w:hAnsi="Times New Roman"/>
          <w:sz w:val="28"/>
          <w:szCs w:val="28"/>
        </w:rPr>
        <w:t xml:space="preserve"> пу</w:t>
      </w:r>
      <w:r>
        <w:rPr>
          <w:rFonts w:ascii="Times New Roman" w:hAnsi="Times New Roman"/>
          <w:sz w:val="28"/>
          <w:szCs w:val="28"/>
        </w:rPr>
        <w:t xml:space="preserve">тем стимуляции </w:t>
      </w:r>
      <w:proofErr w:type="spellStart"/>
      <w:r>
        <w:rPr>
          <w:rFonts w:ascii="Times New Roman" w:hAnsi="Times New Roman"/>
          <w:sz w:val="28"/>
          <w:szCs w:val="28"/>
        </w:rPr>
        <w:t>NO-синтетазы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. </w:t>
      </w:r>
    </w:p>
    <w:p w:rsidR="00AE38A6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38A6" w:rsidRPr="00AE38A6">
        <w:rPr>
          <w:rFonts w:ascii="Times New Roman" w:hAnsi="Times New Roman"/>
          <w:sz w:val="28"/>
          <w:szCs w:val="28"/>
        </w:rPr>
        <w:t xml:space="preserve">Но одни лишь эндотоксины не могут считаться причиной </w:t>
      </w:r>
      <w:r>
        <w:rPr>
          <w:rFonts w:ascii="Times New Roman" w:hAnsi="Times New Roman"/>
          <w:sz w:val="28"/>
          <w:szCs w:val="28"/>
        </w:rPr>
        <w:t>ГРС</w:t>
      </w:r>
      <w:r w:rsidR="00AE38A6" w:rsidRPr="00AE38A6">
        <w:rPr>
          <w:rFonts w:ascii="Times New Roman" w:hAnsi="Times New Roman"/>
          <w:sz w:val="28"/>
          <w:szCs w:val="28"/>
        </w:rPr>
        <w:t xml:space="preserve">. В дополнение к </w:t>
      </w:r>
      <w:r>
        <w:rPr>
          <w:rFonts w:ascii="Times New Roman" w:hAnsi="Times New Roman"/>
          <w:sz w:val="28"/>
          <w:szCs w:val="28"/>
        </w:rPr>
        <w:t>оксиду азота</w:t>
      </w:r>
      <w:r w:rsidR="00AE38A6" w:rsidRPr="00AE38A6">
        <w:rPr>
          <w:rFonts w:ascii="Times New Roman" w:hAnsi="Times New Roman"/>
          <w:sz w:val="28"/>
          <w:szCs w:val="28"/>
        </w:rPr>
        <w:t xml:space="preserve"> стоит перечислить и многи</w:t>
      </w:r>
      <w:r>
        <w:rPr>
          <w:rFonts w:ascii="Times New Roman" w:hAnsi="Times New Roman"/>
          <w:sz w:val="28"/>
          <w:szCs w:val="28"/>
        </w:rPr>
        <w:t xml:space="preserve">е другие </w:t>
      </w:r>
      <w:proofErr w:type="spellStart"/>
      <w:r>
        <w:rPr>
          <w:rFonts w:ascii="Times New Roman" w:hAnsi="Times New Roman"/>
          <w:sz w:val="28"/>
          <w:szCs w:val="28"/>
        </w:rPr>
        <w:t>внепочечные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ГРС</w:t>
      </w:r>
      <w:r w:rsidR="00AE38A6" w:rsidRPr="00AE38A6">
        <w:rPr>
          <w:rFonts w:ascii="Times New Roman" w:hAnsi="Times New Roman"/>
          <w:sz w:val="28"/>
          <w:szCs w:val="28"/>
        </w:rPr>
        <w:t xml:space="preserve">, такие как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аденозин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, инсулиноподобный фактор роста, предсердные пептиды, фактор активации тромбоцитов (PAF) и пептиды, связанные с </w:t>
      </w:r>
      <w:proofErr w:type="gramStart"/>
      <w:r w:rsidR="00AE38A6" w:rsidRPr="00AE38A6">
        <w:rPr>
          <w:rFonts w:ascii="Times New Roman" w:hAnsi="Times New Roman"/>
          <w:sz w:val="28"/>
          <w:szCs w:val="28"/>
        </w:rPr>
        <w:t>генным</w:t>
      </w:r>
      <w:proofErr w:type="gramEnd"/>
      <w:r w:rsidR="00AE38A6" w:rsidRPr="00AE3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кальцитонином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желудочно-кишечного гормона (CGRP). Их воздействие также объясняет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вазодилатацию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E38A6" w:rsidRPr="00AE38A6">
        <w:rPr>
          <w:rFonts w:ascii="Times New Roman" w:hAnsi="Times New Roman"/>
          <w:sz w:val="28"/>
          <w:szCs w:val="28"/>
        </w:rPr>
        <w:t>которая</w:t>
      </w:r>
      <w:proofErr w:type="gramEnd"/>
      <w:r w:rsidR="00AE38A6" w:rsidRPr="00AE38A6">
        <w:rPr>
          <w:rFonts w:ascii="Times New Roman" w:hAnsi="Times New Roman"/>
          <w:sz w:val="28"/>
          <w:szCs w:val="28"/>
        </w:rPr>
        <w:t xml:space="preserve"> обнаруживается при циррозе печени до наступления почечной недостаточности, асцита и падения артериальной периферическ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. В результате происходит чрезвычайно высокое удержание натрия и воды, снижение давления перфузии в почках с уменьшением скорости клубочковой фильтрации, увеличение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осмолярности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 xml:space="preserve"> сыворотки и, наконец, </w:t>
      </w:r>
      <w:proofErr w:type="spellStart"/>
      <w:r w:rsidR="00AE38A6" w:rsidRPr="00AE38A6">
        <w:rPr>
          <w:rFonts w:ascii="Times New Roman" w:hAnsi="Times New Roman"/>
          <w:sz w:val="28"/>
          <w:szCs w:val="28"/>
        </w:rPr>
        <w:t>олигурия</w:t>
      </w:r>
      <w:proofErr w:type="spellEnd"/>
      <w:r w:rsidR="00AE38A6" w:rsidRPr="00AE38A6">
        <w:rPr>
          <w:rFonts w:ascii="Times New Roman" w:hAnsi="Times New Roman"/>
          <w:sz w:val="28"/>
          <w:szCs w:val="28"/>
        </w:rPr>
        <w:t>.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CFD" w:rsidRP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3CFD">
        <w:rPr>
          <w:rFonts w:ascii="Times New Roman" w:hAnsi="Times New Roman"/>
          <w:b/>
          <w:sz w:val="28"/>
          <w:szCs w:val="28"/>
        </w:rPr>
        <w:lastRenderedPageBreak/>
        <w:t>Клиническая картина.</w:t>
      </w:r>
    </w:p>
    <w:p w:rsidR="00853CFD" w:rsidRPr="00853CFD" w:rsidRDefault="00853CFD" w:rsidP="001F403E">
      <w:pPr>
        <w:shd w:val="clear" w:color="auto" w:fill="FFFFFF"/>
        <w:spacing w:before="45"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Гепаторенальный синдром развивается у пациентов с острыми и хроническими заболеваниями печени (</w:t>
      </w:r>
      <w:hyperlink r:id="rId5" w:anchor="top_part_descr" w:history="1">
        <w:r w:rsidRPr="00853CFD">
          <w:rPr>
            <w:rFonts w:ascii="Times New Roman" w:eastAsia="Times New Roman" w:hAnsi="Times New Roman"/>
            <w:sz w:val="28"/>
            <w:szCs w:val="28"/>
            <w:lang w:eastAsia="ru-RU"/>
          </w:rPr>
          <w:t>острая и хроническая печеночная недостаточность </w:t>
        </w:r>
      </w:hyperlink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6" w:anchor="top_part_obshaya" w:history="1">
        <w:r w:rsidRPr="00853CFD">
          <w:rPr>
            <w:rFonts w:ascii="Times New Roman" w:eastAsia="Times New Roman" w:hAnsi="Times New Roman"/>
            <w:sz w:val="28"/>
            <w:szCs w:val="28"/>
            <w:lang w:eastAsia="ru-RU"/>
          </w:rPr>
          <w:t>цирроз печени </w:t>
        </w:r>
      </w:hyperlink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7" w:anchor="top_part_descr" w:history="1">
        <w:r w:rsidRPr="00853CFD">
          <w:rPr>
            <w:rFonts w:ascii="Times New Roman" w:eastAsia="Times New Roman" w:hAnsi="Times New Roman"/>
            <w:sz w:val="28"/>
            <w:szCs w:val="28"/>
            <w:lang w:eastAsia="ru-RU"/>
          </w:rPr>
          <w:t>портальной гипертензией </w:t>
        </w:r>
      </w:hyperlink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). Поэтому у таких больных обнаруживаются: </w:t>
      </w:r>
      <w:r w:rsidR="00733546">
        <w:rPr>
          <w:rFonts w:ascii="Times New Roman" w:eastAsia="Times New Roman" w:hAnsi="Times New Roman"/>
          <w:sz w:val="28"/>
          <w:szCs w:val="28"/>
          <w:lang w:eastAsia="ru-RU"/>
        </w:rPr>
        <w:t>асцит, желтуха,</w:t>
      </w:r>
      <w:r w:rsidR="00733546"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признаки </w:t>
      </w:r>
      <w:hyperlink r:id="rId8" w:anchor="Klinika_pechenochnoj_nedostatochnosti_i_jencefalopatii" w:history="1">
        <w:r w:rsidRPr="00853CFD">
          <w:rPr>
            <w:rFonts w:ascii="Times New Roman" w:eastAsia="Times New Roman" w:hAnsi="Times New Roman"/>
            <w:sz w:val="28"/>
            <w:szCs w:val="28"/>
            <w:lang w:eastAsia="ru-RU"/>
          </w:rPr>
          <w:t>печеночной недостаточности и энцефалопатии </w:t>
        </w:r>
      </w:hyperlink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; возникают желудочно-кишечные кровотечения.</w:t>
      </w:r>
    </w:p>
    <w:p w:rsidR="00853CFD" w:rsidRPr="00853CFD" w:rsidRDefault="00853CFD" w:rsidP="001F403E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Пациентов беспокоят слабость, повышенная утомляемость, </w:t>
      </w:r>
      <w:proofErr w:type="spellStart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дисгевзия</w:t>
      </w:r>
      <w:proofErr w:type="spellEnd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 (извращение вкуса).</w:t>
      </w:r>
    </w:p>
    <w:p w:rsidR="00853CFD" w:rsidRPr="00853CFD" w:rsidRDefault="00853CFD" w:rsidP="001F403E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Объем суточной мочи может не превышать 500 мл/</w:t>
      </w:r>
      <w:proofErr w:type="spellStart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CFD" w:rsidRPr="00853CFD" w:rsidRDefault="00853CFD" w:rsidP="001F403E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осмотре пациентов с гепаторенальным синдромом можно выявить: деформацию пальцев рук и ног по типу «барабанных палочек», ногтей - по типу «часовых стекол»; </w:t>
      </w:r>
      <w:proofErr w:type="spellStart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пальмарную</w:t>
      </w:r>
      <w:proofErr w:type="spellEnd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 эритему, </w:t>
      </w:r>
      <w:proofErr w:type="spellStart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иктеричность</w:t>
      </w:r>
      <w:proofErr w:type="spellEnd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склер, «сосудистые» звездочки, </w:t>
      </w:r>
      <w:proofErr w:type="spellStart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ксантелазмы</w:t>
      </w:r>
      <w:proofErr w:type="spellEnd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CFD" w:rsidRPr="00853CFD" w:rsidRDefault="00853CFD" w:rsidP="001F403E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При наличии асцита на передней поверхности брюшной стенки обнаруживается расширение поверхностных вен в виде «головы медузы». Могут возникать быть пупочные грыжи. Наблюдаются периферические отеки.</w:t>
      </w:r>
    </w:p>
    <w:p w:rsidR="00853CFD" w:rsidRPr="00853CFD" w:rsidRDefault="00853CFD" w:rsidP="001F403E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Печень и селезенка </w:t>
      </w:r>
      <w:proofErr w:type="gramStart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увеличены</w:t>
      </w:r>
      <w:proofErr w:type="gramEnd"/>
      <w:r w:rsidRPr="00853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CFD" w:rsidRDefault="00853CFD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CFD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3546">
        <w:rPr>
          <w:rFonts w:ascii="Times New Roman" w:hAnsi="Times New Roman"/>
          <w:b/>
          <w:sz w:val="28"/>
          <w:szCs w:val="28"/>
        </w:rPr>
        <w:t>Диагностика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3546">
        <w:rPr>
          <w:rFonts w:ascii="Times New Roman" w:hAnsi="Times New Roman"/>
          <w:sz w:val="28"/>
          <w:szCs w:val="28"/>
        </w:rPr>
        <w:t xml:space="preserve">Диагностика </w:t>
      </w:r>
      <w:r>
        <w:rPr>
          <w:rFonts w:ascii="Times New Roman" w:hAnsi="Times New Roman"/>
          <w:sz w:val="28"/>
          <w:szCs w:val="28"/>
        </w:rPr>
        <w:t>ГРС</w:t>
      </w:r>
      <w:r w:rsidRPr="00733546">
        <w:rPr>
          <w:rFonts w:ascii="Times New Roman" w:hAnsi="Times New Roman"/>
          <w:sz w:val="28"/>
          <w:szCs w:val="28"/>
        </w:rPr>
        <w:t xml:space="preserve"> основана на критериях </w:t>
      </w:r>
      <w:proofErr w:type="spellStart"/>
      <w:r w:rsidRPr="00733546">
        <w:rPr>
          <w:rFonts w:ascii="Times New Roman" w:hAnsi="Times New Roman"/>
          <w:sz w:val="28"/>
          <w:szCs w:val="28"/>
        </w:rPr>
        <w:t>International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546">
        <w:rPr>
          <w:rFonts w:ascii="Times New Roman" w:hAnsi="Times New Roman"/>
          <w:sz w:val="28"/>
          <w:szCs w:val="28"/>
        </w:rPr>
        <w:t>Ascites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546">
        <w:rPr>
          <w:rFonts w:ascii="Times New Roman" w:hAnsi="Times New Roman"/>
          <w:sz w:val="28"/>
          <w:szCs w:val="28"/>
        </w:rPr>
        <w:t>Club</w:t>
      </w:r>
      <w:proofErr w:type="spellEnd"/>
      <w:r w:rsidRPr="00733546">
        <w:rPr>
          <w:rFonts w:ascii="Times New Roman" w:hAnsi="Times New Roman"/>
          <w:sz w:val="28"/>
          <w:szCs w:val="28"/>
        </w:rPr>
        <w:t>.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выраженная печеночная недостаточность;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портальная гипертензия;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снижение скорости клубочковой фильтрации, повышение уровня сывороточного </w:t>
      </w:r>
      <w:proofErr w:type="spellStart"/>
      <w:r w:rsidRPr="00733546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более 1,5 мг/дл или снижение клиренса </w:t>
      </w:r>
      <w:proofErr w:type="spellStart"/>
      <w:r w:rsidRPr="00733546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менее 40 мл/мин);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отсутствие нарушений кровообращения;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lastRenderedPageBreak/>
        <w:t xml:space="preserve">- отсутствие текущих бактериальных инфекций;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отсутствие в анамнезе применения нефротоксических препаратов, которые могли бы быть причиной почечной недостаточности;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отсутствие улучшения функции почек после расширения объема плазмы; 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отсутствие полноценной протеинурии, т.е.  &lt; 500 мг/дл; </w:t>
      </w:r>
    </w:p>
    <w:p w:rsidR="001F403E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3546">
        <w:rPr>
          <w:rFonts w:ascii="Times New Roman" w:hAnsi="Times New Roman"/>
          <w:sz w:val="28"/>
          <w:szCs w:val="28"/>
        </w:rPr>
        <w:t xml:space="preserve">- другими критериями </w:t>
      </w:r>
      <w:proofErr w:type="gramStart"/>
      <w:r w:rsidRPr="00733546">
        <w:rPr>
          <w:rFonts w:ascii="Times New Roman" w:hAnsi="Times New Roman"/>
          <w:sz w:val="28"/>
          <w:szCs w:val="28"/>
        </w:rPr>
        <w:t>являются</w:t>
      </w:r>
      <w:proofErr w:type="gramEnd"/>
      <w:r w:rsidRPr="00733546">
        <w:rPr>
          <w:rFonts w:ascii="Times New Roman" w:hAnsi="Times New Roman"/>
          <w:sz w:val="28"/>
          <w:szCs w:val="28"/>
        </w:rPr>
        <w:t xml:space="preserve"> объем мочи &lt; 500 мл/сутки, концентрация натрия в моче &lt; 10 </w:t>
      </w:r>
      <w:proofErr w:type="spellStart"/>
      <w:r w:rsidRPr="00733546">
        <w:rPr>
          <w:rFonts w:ascii="Times New Roman" w:hAnsi="Times New Roman"/>
          <w:sz w:val="28"/>
          <w:szCs w:val="28"/>
        </w:rPr>
        <w:t>ммоль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733546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мочи больше, чем </w:t>
      </w:r>
      <w:proofErr w:type="spellStart"/>
      <w:r w:rsidRPr="00733546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сыворотки крови, </w:t>
      </w:r>
      <w:proofErr w:type="spellStart"/>
      <w:r w:rsidRPr="00733546">
        <w:rPr>
          <w:rFonts w:ascii="Times New Roman" w:hAnsi="Times New Roman"/>
          <w:sz w:val="28"/>
          <w:szCs w:val="28"/>
        </w:rPr>
        <w:t>эритроцитурия</w:t>
      </w:r>
      <w:proofErr w:type="spellEnd"/>
      <w:r w:rsidRPr="00733546">
        <w:rPr>
          <w:rFonts w:ascii="Times New Roman" w:hAnsi="Times New Roman"/>
          <w:sz w:val="28"/>
          <w:szCs w:val="28"/>
        </w:rPr>
        <w:t xml:space="preserve"> &lt; 50 клеток в поле зрения и концентрация натрия в сыворотке крови &lt; 130 </w:t>
      </w:r>
      <w:proofErr w:type="spellStart"/>
      <w:r w:rsidRPr="00733546">
        <w:rPr>
          <w:rFonts w:ascii="Times New Roman" w:hAnsi="Times New Roman"/>
          <w:sz w:val="28"/>
          <w:szCs w:val="28"/>
        </w:rPr>
        <w:t>ммоль</w:t>
      </w:r>
      <w:proofErr w:type="spellEnd"/>
      <w:r w:rsidRPr="00733546">
        <w:rPr>
          <w:rFonts w:ascii="Times New Roman" w:hAnsi="Times New Roman"/>
          <w:sz w:val="28"/>
          <w:szCs w:val="28"/>
        </w:rPr>
        <w:t>/л.</w:t>
      </w:r>
    </w:p>
    <w:p w:rsid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03E">
        <w:rPr>
          <w:rFonts w:ascii="Times New Roman" w:hAnsi="Times New Roman"/>
          <w:sz w:val="28"/>
          <w:szCs w:val="28"/>
          <w:shd w:val="clear" w:color="auto" w:fill="FFFFFF"/>
        </w:rPr>
        <w:t>Для диагностики необходимо наличие всех больших критериев. Дополнительные критерии не являются необходимыми, но подтверждают диагноз.</w:t>
      </w:r>
    </w:p>
    <w:p w:rsidR="001F403E" w:rsidRPr="001F403E" w:rsidRDefault="001F403E" w:rsidP="001F40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03E">
        <w:rPr>
          <w:rFonts w:ascii="Times New Roman" w:eastAsia="Times New Roman" w:hAnsi="Times New Roman"/>
          <w:sz w:val="28"/>
          <w:szCs w:val="28"/>
          <w:lang w:eastAsia="ru-RU"/>
        </w:rPr>
        <w:t>УЗИ. При гепаторенальном синдроме важно исключить обструкцию мочевыводящих путей и заболевания почек.</w:t>
      </w:r>
    </w:p>
    <w:p w:rsidR="001F403E" w:rsidRPr="001F403E" w:rsidRDefault="001F403E" w:rsidP="001F40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03E">
        <w:rPr>
          <w:rFonts w:ascii="Times New Roman" w:eastAsia="Times New Roman" w:hAnsi="Times New Roman"/>
          <w:sz w:val="28"/>
          <w:szCs w:val="28"/>
          <w:lang w:eastAsia="ru-RU"/>
        </w:rPr>
        <w:t>При доплеровском исследовании оценивается сопротивление сосудов почек.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03E">
        <w:rPr>
          <w:rFonts w:ascii="Times New Roman" w:eastAsia="Times New Roman" w:hAnsi="Times New Roman"/>
          <w:sz w:val="28"/>
          <w:szCs w:val="28"/>
          <w:lang w:eastAsia="ru-RU"/>
        </w:rPr>
        <w:t>Биопсия почек. Как правило, при гепаторе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нальном синдроме не проводится. </w:t>
      </w:r>
      <w:r w:rsidRPr="001F403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у пациентов с гепаторенальным синдромом в </w:t>
      </w:r>
      <w:proofErr w:type="spellStart"/>
      <w:r w:rsidRPr="001F403E">
        <w:rPr>
          <w:rFonts w:ascii="Times New Roman" w:eastAsia="Times New Roman" w:hAnsi="Times New Roman"/>
          <w:sz w:val="28"/>
          <w:szCs w:val="28"/>
          <w:lang w:eastAsia="ru-RU"/>
        </w:rPr>
        <w:t>биоптатах</w:t>
      </w:r>
      <w:proofErr w:type="spellEnd"/>
      <w:r w:rsidRPr="001F403E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обнаруживается неизмененная почечная ткань.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03E" w:rsidRPr="001F403E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F403E">
        <w:rPr>
          <w:rFonts w:ascii="Times New Roman" w:hAnsi="Times New Roman"/>
          <w:b/>
          <w:sz w:val="28"/>
          <w:szCs w:val="28"/>
        </w:rPr>
        <w:t xml:space="preserve">Дифференциальная диагностика 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03E">
        <w:rPr>
          <w:rFonts w:ascii="Times New Roman" w:hAnsi="Times New Roman"/>
          <w:sz w:val="28"/>
          <w:szCs w:val="28"/>
        </w:rPr>
        <w:t xml:space="preserve">Дифференцировка между гепаторенальным синдромом и другими причинами почечной недостаточности — это второй этап диагностики острого повреждения печени с </w:t>
      </w:r>
      <w:proofErr w:type="spellStart"/>
      <w:r w:rsidRPr="001F403E">
        <w:rPr>
          <w:rFonts w:ascii="Times New Roman" w:hAnsi="Times New Roman"/>
          <w:sz w:val="28"/>
          <w:szCs w:val="28"/>
        </w:rPr>
        <w:t>азотемическим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синдромом. 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03E">
        <w:rPr>
          <w:rFonts w:ascii="Times New Roman" w:hAnsi="Times New Roman"/>
          <w:sz w:val="28"/>
          <w:szCs w:val="28"/>
        </w:rPr>
        <w:t xml:space="preserve">В качестве маркера острого повреждения почек с целью дифференциальной диагностики пользуются такими показателями, как </w:t>
      </w:r>
      <w:proofErr w:type="spellStart"/>
      <w:r w:rsidRPr="001F403E">
        <w:rPr>
          <w:rFonts w:ascii="Times New Roman" w:hAnsi="Times New Roman"/>
          <w:sz w:val="28"/>
          <w:szCs w:val="28"/>
        </w:rPr>
        <w:t>липокалин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F403E">
        <w:rPr>
          <w:rFonts w:ascii="Times New Roman" w:hAnsi="Times New Roman"/>
          <w:sz w:val="28"/>
          <w:szCs w:val="28"/>
        </w:rPr>
        <w:t>ассоциированный</w:t>
      </w:r>
      <w:proofErr w:type="gramEnd"/>
      <w:r w:rsidRPr="001F403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F403E">
        <w:rPr>
          <w:rFonts w:ascii="Times New Roman" w:hAnsi="Times New Roman"/>
          <w:sz w:val="28"/>
          <w:szCs w:val="28"/>
        </w:rPr>
        <w:t>желатиназой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нейтрофилов, или липокалин-2 (NGAL — </w:t>
      </w:r>
      <w:proofErr w:type="spellStart"/>
      <w:r w:rsidRPr="001F403E">
        <w:rPr>
          <w:rFonts w:ascii="Times New Roman" w:hAnsi="Times New Roman"/>
          <w:sz w:val="28"/>
          <w:szCs w:val="28"/>
        </w:rPr>
        <w:t>neutrophil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03E">
        <w:rPr>
          <w:rFonts w:ascii="Times New Roman" w:hAnsi="Times New Roman"/>
          <w:sz w:val="28"/>
          <w:szCs w:val="28"/>
        </w:rPr>
        <w:t>gelatinase-associated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03E">
        <w:rPr>
          <w:rFonts w:ascii="Times New Roman" w:hAnsi="Times New Roman"/>
          <w:sz w:val="28"/>
          <w:szCs w:val="28"/>
        </w:rPr>
        <w:t>lipocalin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) в биохимическом анализе крови. 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F403E">
        <w:rPr>
          <w:rFonts w:ascii="Times New Roman" w:hAnsi="Times New Roman"/>
          <w:sz w:val="28"/>
          <w:szCs w:val="28"/>
        </w:rPr>
        <w:t xml:space="preserve">Следует сравнивать проявления следующих форм заболеваний. 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I. Клубочковые поражения почек: </w:t>
      </w:r>
    </w:p>
    <w:p w:rsidR="001F403E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lastRenderedPageBreak/>
        <w:t xml:space="preserve">1) при острой вирусной инфекции;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2) при хронических вирусных инфекциях, </w:t>
      </w:r>
      <w:proofErr w:type="gramStart"/>
      <w:r w:rsidRPr="001F403E">
        <w:rPr>
          <w:rFonts w:ascii="Times New Roman" w:hAnsi="Times New Roman"/>
          <w:sz w:val="28"/>
          <w:szCs w:val="28"/>
        </w:rPr>
        <w:t>обусловливающие</w:t>
      </w:r>
      <w:proofErr w:type="gramEnd"/>
      <w:r w:rsidRPr="001F4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03E">
        <w:rPr>
          <w:rFonts w:ascii="Times New Roman" w:hAnsi="Times New Roman"/>
          <w:sz w:val="28"/>
          <w:szCs w:val="28"/>
        </w:rPr>
        <w:t>иммунокомплексный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нефрит;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F403E">
        <w:rPr>
          <w:rFonts w:ascii="Times New Roman" w:hAnsi="Times New Roman"/>
          <w:sz w:val="28"/>
          <w:szCs w:val="28"/>
        </w:rPr>
        <w:t>гломерулосклероз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на фоне цирроза различных форм (</w:t>
      </w:r>
      <w:proofErr w:type="spellStart"/>
      <w:r w:rsidRPr="001F403E">
        <w:rPr>
          <w:rFonts w:ascii="Times New Roman" w:hAnsi="Times New Roman"/>
          <w:sz w:val="28"/>
          <w:szCs w:val="28"/>
        </w:rPr>
        <w:t>мезангиальная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03E">
        <w:rPr>
          <w:rFonts w:ascii="Times New Roman" w:hAnsi="Times New Roman"/>
          <w:sz w:val="28"/>
          <w:szCs w:val="28"/>
        </w:rPr>
        <w:t>мембранозно-пролиферативная</w:t>
      </w:r>
      <w:proofErr w:type="spellEnd"/>
      <w:r w:rsidRPr="001F403E">
        <w:rPr>
          <w:rFonts w:ascii="Times New Roman" w:hAnsi="Times New Roman"/>
          <w:sz w:val="28"/>
          <w:szCs w:val="28"/>
        </w:rPr>
        <w:t>, IgA</w:t>
      </w:r>
      <w:r w:rsidR="00DA56A8">
        <w:rPr>
          <w:rFonts w:ascii="Times New Roman" w:hAnsi="Times New Roman"/>
          <w:sz w:val="28"/>
          <w:szCs w:val="28"/>
        </w:rPr>
        <w:t>-</w:t>
      </w:r>
      <w:r w:rsidRPr="001F403E">
        <w:rPr>
          <w:rFonts w:ascii="Times New Roman" w:hAnsi="Times New Roman"/>
          <w:sz w:val="28"/>
          <w:szCs w:val="28"/>
        </w:rPr>
        <w:t xml:space="preserve">нефропатия).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1F403E">
        <w:rPr>
          <w:rFonts w:ascii="Times New Roman" w:hAnsi="Times New Roman"/>
          <w:sz w:val="28"/>
          <w:szCs w:val="28"/>
        </w:rPr>
        <w:t>Канальцевые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поражения почек: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1) острая почечная недостаточность (острый </w:t>
      </w:r>
      <w:proofErr w:type="spellStart"/>
      <w:r w:rsidRPr="001F403E">
        <w:rPr>
          <w:rFonts w:ascii="Times New Roman" w:hAnsi="Times New Roman"/>
          <w:sz w:val="28"/>
          <w:szCs w:val="28"/>
        </w:rPr>
        <w:t>канальцевый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некроз);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F403E">
        <w:rPr>
          <w:rFonts w:ascii="Times New Roman" w:hAnsi="Times New Roman"/>
          <w:sz w:val="28"/>
          <w:szCs w:val="28"/>
        </w:rPr>
        <w:t>канальцевый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почечный ацидоз различных форм (тип 1 — дистальная форма, тип 2 — дистальная и проксимальная форма);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F403E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 нефроз.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>III. Почечное поражение на фоне передозировки нефротоксических препаратов (</w:t>
      </w:r>
      <w:proofErr w:type="spellStart"/>
      <w:r w:rsidRPr="001F403E">
        <w:rPr>
          <w:rFonts w:ascii="Times New Roman" w:hAnsi="Times New Roman"/>
          <w:sz w:val="28"/>
          <w:szCs w:val="28"/>
        </w:rPr>
        <w:t>аминогликозиды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, ингибиторы АПФ, НПВС, </w:t>
      </w:r>
      <w:proofErr w:type="spellStart"/>
      <w:r w:rsidRPr="001F403E">
        <w:rPr>
          <w:rFonts w:ascii="Times New Roman" w:hAnsi="Times New Roman"/>
          <w:sz w:val="28"/>
          <w:szCs w:val="28"/>
        </w:rPr>
        <w:t>диуретики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403E">
        <w:rPr>
          <w:rFonts w:ascii="Times New Roman" w:hAnsi="Times New Roman"/>
          <w:sz w:val="28"/>
          <w:szCs w:val="28"/>
        </w:rPr>
        <w:t>дипиридамол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). </w:t>
      </w:r>
    </w:p>
    <w:p w:rsidR="00DA56A8" w:rsidRDefault="001F403E" w:rsidP="001F403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403E">
        <w:rPr>
          <w:rFonts w:ascii="Times New Roman" w:hAnsi="Times New Roman"/>
          <w:sz w:val="28"/>
          <w:szCs w:val="28"/>
        </w:rPr>
        <w:t>IV. Одновременное поражение печени и почек на фоне различных заболеваний («</w:t>
      </w:r>
      <w:proofErr w:type="spellStart"/>
      <w:r w:rsidRPr="001F403E">
        <w:rPr>
          <w:rFonts w:ascii="Times New Roman" w:hAnsi="Times New Roman"/>
          <w:sz w:val="28"/>
          <w:szCs w:val="28"/>
        </w:rPr>
        <w:t>псевдогепаторенальный</w:t>
      </w:r>
      <w:proofErr w:type="spellEnd"/>
      <w:r w:rsidRPr="001F403E">
        <w:rPr>
          <w:rFonts w:ascii="Times New Roman" w:hAnsi="Times New Roman"/>
          <w:sz w:val="28"/>
          <w:szCs w:val="28"/>
        </w:rPr>
        <w:t xml:space="preserve">» синдром) (табл. 1). </w:t>
      </w:r>
    </w:p>
    <w:p w:rsid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20"/>
        <w:gridCol w:w="3321"/>
        <w:gridCol w:w="3321"/>
      </w:tblGrid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Этиологический фактор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Канальцевые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 поражения почек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Клубочковые поражения почек</w:t>
            </w:r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Инфекционный агент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Туберкулез, бруцеллез, лептоспироз, бактериальный сепсис, гепатит</w:t>
            </w:r>
            <w:proofErr w:type="gramStart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вирус Эпштейн —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Барр</w:t>
            </w:r>
            <w:proofErr w:type="spellEnd"/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Вирусы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>, гепатитов</w:t>
            </w:r>
            <w:proofErr w:type="gramStart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С,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абсцедирование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 печени</w:t>
            </w:r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Отравление ядами и токсинами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Мышьяк, хлороформ, барий, медь,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трихлорэтилен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>, четыреххлористый углерод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группа </w:t>
            </w:r>
            <w:r w:rsidRPr="00DA5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тетрациклина,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аллопуринол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метотрексат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сульфонамид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флуроксен</w:t>
            </w:r>
            <w:proofErr w:type="spellEnd"/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lastRenderedPageBreak/>
              <w:t>Системные болезни тканей и органов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Синдром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Шегрена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саркоидоз</w:t>
            </w:r>
            <w:proofErr w:type="spellEnd"/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Амилоидоз, красная волчанка,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васкулиты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криоглобулинемия</w:t>
            </w:r>
            <w:proofErr w:type="spellEnd"/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Снижение ОЦК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Шок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гиповолемический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кардиогенный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>, дистрибутивный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Генетические заболевания, врожденные пороки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Фиброз печени,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поликистоз</w:t>
            </w:r>
            <w:proofErr w:type="spellEnd"/>
            <w:r w:rsidRPr="00DA56A8">
              <w:rPr>
                <w:rFonts w:ascii="Times New Roman" w:hAnsi="Times New Roman"/>
                <w:sz w:val="28"/>
                <w:szCs w:val="28"/>
              </w:rPr>
              <w:t xml:space="preserve"> почек и печени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6A8" w:rsidTr="00DA56A8">
        <w:tc>
          <w:tcPr>
            <w:tcW w:w="3320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>Злокачественные заболевания</w:t>
            </w:r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6A8">
              <w:rPr>
                <w:rFonts w:ascii="Times New Roman" w:hAnsi="Times New Roman"/>
                <w:sz w:val="28"/>
                <w:szCs w:val="28"/>
              </w:rPr>
              <w:t xml:space="preserve">Лейкемия, </w:t>
            </w:r>
            <w:proofErr w:type="spellStart"/>
            <w:r w:rsidRPr="00DA56A8">
              <w:rPr>
                <w:rFonts w:ascii="Times New Roman" w:hAnsi="Times New Roman"/>
                <w:sz w:val="28"/>
                <w:szCs w:val="28"/>
              </w:rPr>
              <w:t>лимфома</w:t>
            </w:r>
            <w:proofErr w:type="spellEnd"/>
          </w:p>
        </w:tc>
        <w:tc>
          <w:tcPr>
            <w:tcW w:w="3321" w:type="dxa"/>
          </w:tcPr>
          <w:p w:rsidR="00DA56A8" w:rsidRPr="00DA56A8" w:rsidRDefault="00DA56A8" w:rsidP="00DA56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6A8" w:rsidRPr="00DA56A8" w:rsidRDefault="00DA56A8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A56A8">
        <w:rPr>
          <w:rFonts w:ascii="Times New Roman" w:hAnsi="Times New Roman"/>
          <w:sz w:val="20"/>
          <w:szCs w:val="20"/>
        </w:rPr>
        <w:t xml:space="preserve">Таблица 1. Дифференциальная диагностика с </w:t>
      </w:r>
      <w:proofErr w:type="spellStart"/>
      <w:r w:rsidRPr="00DA56A8">
        <w:rPr>
          <w:rFonts w:ascii="Times New Roman" w:hAnsi="Times New Roman"/>
          <w:sz w:val="20"/>
          <w:szCs w:val="20"/>
        </w:rPr>
        <w:t>псевдогепаторенальным</w:t>
      </w:r>
      <w:proofErr w:type="spellEnd"/>
      <w:r w:rsidRPr="00DA56A8">
        <w:rPr>
          <w:rFonts w:ascii="Times New Roman" w:hAnsi="Times New Roman"/>
          <w:sz w:val="20"/>
          <w:szCs w:val="20"/>
        </w:rPr>
        <w:t xml:space="preserve"> синдромом</w:t>
      </w:r>
    </w:p>
    <w:p w:rsidR="001F403E" w:rsidRDefault="001F403E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56A8" w:rsidRPr="00DA56A8" w:rsidRDefault="00DA56A8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56A8">
        <w:rPr>
          <w:rFonts w:ascii="Times New Roman" w:hAnsi="Times New Roman"/>
          <w:b/>
          <w:sz w:val="28"/>
          <w:szCs w:val="28"/>
        </w:rPr>
        <w:t>Тактика ведения</w:t>
      </w:r>
    </w:p>
    <w:p w:rsidR="001A0283" w:rsidRDefault="00DA56A8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Терапию ГРС</w:t>
      </w:r>
      <w:r w:rsidRPr="00DA56A8">
        <w:rPr>
          <w:rFonts w:ascii="Times New Roman" w:hAnsi="Times New Roman"/>
          <w:sz w:val="28"/>
          <w:szCs w:val="28"/>
        </w:rPr>
        <w:t xml:space="preserve"> обычно проводят в стационарных условиях. Эффективность проф</w:t>
      </w:r>
      <w:r>
        <w:rPr>
          <w:rFonts w:ascii="Times New Roman" w:hAnsi="Times New Roman"/>
          <w:sz w:val="28"/>
          <w:szCs w:val="28"/>
        </w:rPr>
        <w:t>илактических мер в отношении ГРС</w:t>
      </w:r>
      <w:r w:rsidRPr="00DA56A8">
        <w:rPr>
          <w:rFonts w:ascii="Times New Roman" w:hAnsi="Times New Roman"/>
          <w:sz w:val="28"/>
          <w:szCs w:val="28"/>
        </w:rPr>
        <w:t xml:space="preserve"> не установлена. Как пр</w:t>
      </w:r>
      <w:r>
        <w:rPr>
          <w:rFonts w:ascii="Times New Roman" w:hAnsi="Times New Roman"/>
          <w:sz w:val="28"/>
          <w:szCs w:val="28"/>
        </w:rPr>
        <w:t>авило, независимо от наличия ГРС</w:t>
      </w:r>
      <w:r w:rsidRPr="00DA56A8">
        <w:rPr>
          <w:rFonts w:ascii="Times New Roman" w:hAnsi="Times New Roman"/>
          <w:sz w:val="28"/>
          <w:szCs w:val="28"/>
        </w:rPr>
        <w:t xml:space="preserve"> диуретическую терапию при </w:t>
      </w:r>
      <w:proofErr w:type="spellStart"/>
      <w:r w:rsidRPr="00DA56A8">
        <w:rPr>
          <w:rFonts w:ascii="Times New Roman" w:hAnsi="Times New Roman"/>
          <w:sz w:val="28"/>
          <w:szCs w:val="28"/>
        </w:rPr>
        <w:t>декомпенсированном</w:t>
      </w:r>
      <w:proofErr w:type="spellEnd"/>
      <w:r w:rsidRPr="00DA56A8">
        <w:rPr>
          <w:rFonts w:ascii="Times New Roman" w:hAnsi="Times New Roman"/>
          <w:sz w:val="28"/>
          <w:szCs w:val="28"/>
        </w:rPr>
        <w:t xml:space="preserve"> циррозе следует назначать с осторожностью, чтобы предотв</w:t>
      </w:r>
      <w:r>
        <w:rPr>
          <w:rFonts w:ascii="Times New Roman" w:hAnsi="Times New Roman"/>
          <w:sz w:val="28"/>
          <w:szCs w:val="28"/>
        </w:rPr>
        <w:t xml:space="preserve">ратить почечную недостаточность. </w:t>
      </w:r>
      <w:proofErr w:type="spellStart"/>
      <w:r w:rsidRPr="00DA56A8">
        <w:rPr>
          <w:rFonts w:ascii="Times New Roman" w:hAnsi="Times New Roman"/>
          <w:sz w:val="28"/>
          <w:szCs w:val="28"/>
        </w:rPr>
        <w:t>Парацентез</w:t>
      </w:r>
      <w:proofErr w:type="spellEnd"/>
      <w:r w:rsidRPr="00DA56A8">
        <w:rPr>
          <w:rFonts w:ascii="Times New Roman" w:hAnsi="Times New Roman"/>
          <w:sz w:val="28"/>
          <w:szCs w:val="28"/>
        </w:rPr>
        <w:t xml:space="preserve"> должен сопровождаться внутривенным введением альб</w:t>
      </w:r>
      <w:r>
        <w:rPr>
          <w:rFonts w:ascii="Times New Roman" w:hAnsi="Times New Roman"/>
          <w:sz w:val="28"/>
          <w:szCs w:val="28"/>
        </w:rPr>
        <w:t>умина. Лечение ГРС</w:t>
      </w:r>
      <w:r w:rsidRPr="00DA56A8">
        <w:rPr>
          <w:rFonts w:ascii="Times New Roman" w:hAnsi="Times New Roman"/>
          <w:sz w:val="28"/>
          <w:szCs w:val="28"/>
        </w:rPr>
        <w:t xml:space="preserve"> в первую очередь предполагает коррекцию жизненно важных показателей, таких как </w:t>
      </w:r>
      <w:proofErr w:type="spellStart"/>
      <w:r w:rsidRPr="00DA56A8">
        <w:rPr>
          <w:rFonts w:ascii="Times New Roman" w:hAnsi="Times New Roman"/>
          <w:sz w:val="28"/>
          <w:szCs w:val="28"/>
        </w:rPr>
        <w:t>гиперкалиемия</w:t>
      </w:r>
      <w:proofErr w:type="spellEnd"/>
      <w:r w:rsidRPr="00DA56A8">
        <w:rPr>
          <w:rFonts w:ascii="Times New Roman" w:hAnsi="Times New Roman"/>
          <w:sz w:val="28"/>
          <w:szCs w:val="28"/>
        </w:rPr>
        <w:t xml:space="preserve">, гипогликемия, ацидоз и нарушения свертывания крови. Лечение нефротоксическими веществами следует немедленно прекратить. Коррекция </w:t>
      </w:r>
      <w:proofErr w:type="spellStart"/>
      <w:r w:rsidRPr="00DA56A8">
        <w:rPr>
          <w:rFonts w:ascii="Times New Roman" w:hAnsi="Times New Roman"/>
          <w:sz w:val="28"/>
          <w:szCs w:val="28"/>
        </w:rPr>
        <w:t>волемических</w:t>
      </w:r>
      <w:proofErr w:type="spellEnd"/>
      <w:r w:rsidRPr="00DA56A8">
        <w:rPr>
          <w:rFonts w:ascii="Times New Roman" w:hAnsi="Times New Roman"/>
          <w:sz w:val="28"/>
          <w:szCs w:val="28"/>
        </w:rPr>
        <w:t xml:space="preserve"> нарушений обычно связана с риском дальнейшей потери жидкости во внеклеточном пространстве и может привести к развитию отека легких и присоединению дыхательной </w:t>
      </w:r>
      <w:r w:rsidRPr="00DA56A8">
        <w:rPr>
          <w:rFonts w:ascii="Times New Roman" w:hAnsi="Times New Roman"/>
          <w:sz w:val="28"/>
          <w:szCs w:val="28"/>
        </w:rPr>
        <w:lastRenderedPageBreak/>
        <w:t>недостаточности. Вот почему мониторинг центрального венозн</w:t>
      </w:r>
      <w:r>
        <w:rPr>
          <w:rFonts w:ascii="Times New Roman" w:hAnsi="Times New Roman"/>
          <w:sz w:val="28"/>
          <w:szCs w:val="28"/>
        </w:rPr>
        <w:t>ого давления для пациентов с ГРС</w:t>
      </w:r>
      <w:r w:rsidRPr="00DA56A8">
        <w:rPr>
          <w:rFonts w:ascii="Times New Roman" w:hAnsi="Times New Roman"/>
          <w:sz w:val="28"/>
          <w:szCs w:val="28"/>
        </w:rPr>
        <w:t xml:space="preserve"> является очень важным. В некоторых случаях для контроля объемного потока крови измеряют давление окклюзии капилляров в легочной</w:t>
      </w:r>
      <w:r>
        <w:rPr>
          <w:rFonts w:ascii="Times New Roman" w:hAnsi="Times New Roman"/>
          <w:sz w:val="28"/>
          <w:szCs w:val="28"/>
        </w:rPr>
        <w:t xml:space="preserve"> артерии. </w:t>
      </w:r>
    </w:p>
    <w:p w:rsid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56A8">
        <w:rPr>
          <w:rFonts w:ascii="Times New Roman" w:hAnsi="Times New Roman"/>
          <w:sz w:val="28"/>
          <w:szCs w:val="28"/>
        </w:rPr>
        <w:t>Поскольку причиной ГРС</w:t>
      </w:r>
      <w:r w:rsidR="00DA56A8" w:rsidRPr="00DA56A8">
        <w:rPr>
          <w:rFonts w:ascii="Times New Roman" w:hAnsi="Times New Roman"/>
          <w:sz w:val="28"/>
          <w:szCs w:val="28"/>
        </w:rPr>
        <w:t xml:space="preserve"> считается снижение перфузии почек вследствие изменения объема циркуляции в брюшной полости, предпринимались многочисленные попытки добиться перенаправления объемов из брюшной полости в центральную венозную систему. Конкретные медикаментозные подходы существуют для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орнипрестина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 (как при изолированном применении, так и в сочетании с дофамином или вазопрессин</w:t>
      </w:r>
      <w:r w:rsidR="00DA56A8">
        <w:rPr>
          <w:rFonts w:ascii="Times New Roman" w:hAnsi="Times New Roman"/>
          <w:sz w:val="28"/>
          <w:szCs w:val="28"/>
        </w:rPr>
        <w:t xml:space="preserve">ом, </w:t>
      </w:r>
      <w:proofErr w:type="spellStart"/>
      <w:r w:rsidR="00DA56A8">
        <w:rPr>
          <w:rFonts w:ascii="Times New Roman" w:hAnsi="Times New Roman"/>
          <w:sz w:val="28"/>
          <w:szCs w:val="28"/>
        </w:rPr>
        <w:t>терлипрессином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) или </w:t>
      </w:r>
      <w:proofErr w:type="gramStart"/>
      <w:r w:rsidR="00DA56A8" w:rsidRPr="00DA56A8">
        <w:rPr>
          <w:rFonts w:ascii="Times New Roman" w:hAnsi="Times New Roman"/>
          <w:sz w:val="28"/>
          <w:szCs w:val="28"/>
        </w:rPr>
        <w:t>α-</w:t>
      </w:r>
      <w:proofErr w:type="gramEnd"/>
      <w:r w:rsidR="00DA56A8" w:rsidRPr="00DA56A8">
        <w:rPr>
          <w:rFonts w:ascii="Times New Roman" w:hAnsi="Times New Roman"/>
          <w:sz w:val="28"/>
          <w:szCs w:val="28"/>
        </w:rPr>
        <w:t>адреномиметиков в сочетании с анатомически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октреотидом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соматостатина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. Общим принципом всех этих подходов является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вазоконстрикция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 в области брыжейки без дополнительного снижения перфузии почек. Для лечения </w:t>
      </w:r>
      <w:r>
        <w:rPr>
          <w:rFonts w:ascii="Times New Roman" w:hAnsi="Times New Roman"/>
          <w:sz w:val="28"/>
          <w:szCs w:val="28"/>
        </w:rPr>
        <w:t>ГРС</w:t>
      </w:r>
      <w:r w:rsidR="00DA56A8" w:rsidRPr="00DA56A8">
        <w:rPr>
          <w:rFonts w:ascii="Times New Roman" w:hAnsi="Times New Roman"/>
          <w:sz w:val="28"/>
          <w:szCs w:val="28"/>
        </w:rPr>
        <w:t xml:space="preserve"> интересна также способность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N-ацетилцист</w:t>
      </w:r>
      <w:r>
        <w:rPr>
          <w:rFonts w:ascii="Times New Roman" w:hAnsi="Times New Roman"/>
          <w:sz w:val="28"/>
          <w:szCs w:val="28"/>
        </w:rPr>
        <w:t>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улучшать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функцию почек</w:t>
      </w:r>
      <w:r w:rsidR="00DA56A8" w:rsidRPr="00DA56A8">
        <w:rPr>
          <w:rFonts w:ascii="Times New Roman" w:hAnsi="Times New Roman"/>
          <w:sz w:val="28"/>
          <w:szCs w:val="28"/>
        </w:rPr>
        <w:t xml:space="preserve">. Но фармакологический механизм, с помощью которого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N-ацетилцистеин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 способствует улучшению функции почек с увеличением скорости клубочковой фильтрации и уменьшением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креатинина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 сывор</w:t>
      </w:r>
      <w:r>
        <w:rPr>
          <w:rFonts w:ascii="Times New Roman" w:hAnsi="Times New Roman"/>
          <w:sz w:val="28"/>
          <w:szCs w:val="28"/>
        </w:rPr>
        <w:t xml:space="preserve">отки, пока остается неясным. </w:t>
      </w:r>
    </w:p>
    <w:p w:rsidR="00DA56A8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ГРС</w:t>
      </w:r>
      <w:r w:rsidR="00DA56A8" w:rsidRPr="00DA56A8">
        <w:rPr>
          <w:rFonts w:ascii="Times New Roman" w:hAnsi="Times New Roman"/>
          <w:sz w:val="28"/>
          <w:szCs w:val="28"/>
        </w:rPr>
        <w:t xml:space="preserve"> часто вызывает септические осложнения. Вот почему имеет смысл раннее назначение антибактериальных препаратов. У пациентов с асцитом и спонтанным бактериальным перитонитом почечная недостаточность является распространенным и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прогностически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 неблагоприятным осложнением. Использование альбумина в сочетании с антибиотиками, не обладающими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нефротоксичностью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="00DA56A8" w:rsidRPr="00DA56A8">
        <w:rPr>
          <w:rFonts w:ascii="Times New Roman" w:hAnsi="Times New Roman"/>
          <w:sz w:val="28"/>
          <w:szCs w:val="28"/>
        </w:rPr>
        <w:t>цефалоспоринами</w:t>
      </w:r>
      <w:proofErr w:type="spellEnd"/>
      <w:r w:rsidR="00DA56A8" w:rsidRPr="00DA56A8">
        <w:rPr>
          <w:rFonts w:ascii="Times New Roman" w:hAnsi="Times New Roman"/>
          <w:sz w:val="28"/>
          <w:szCs w:val="28"/>
        </w:rPr>
        <w:t>), может снизить частоту почечной недостаточности и смертности у этой группы пациентов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0283" w:rsidRPr="00DA56A8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283" w:rsidRDefault="001A0283" w:rsidP="001A0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принципы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A0283" w:rsidRDefault="001A0283" w:rsidP="001A0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Идеальным лечением гепаторенального синдрома (ГРС) является трансплантация печени, однако из-за длинных очередей в большинстве центров трансплантации, большинство больных умирают до трансплантации.</w:t>
      </w: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настоятельная необходимость в эффективной альтернативной терапии, способной  увеличить шансы выживания для пациентов с ГРС до трансплантации. Вмешательства, которые показали некоторую перспективу, включают в себя использование препаратов с сосудосуживающим эффектом,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трансюгулярное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наложение внутрипеченочного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портосистемного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шунта (TIPS) и некоторые методы экстракорпоральной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детоксикации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(CRRT, ECAD - MARS). </w:t>
      </w:r>
    </w:p>
    <w:p w:rsidR="001A0283" w:rsidRDefault="001A0283" w:rsidP="001A0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Диета:</w:t>
      </w: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br/>
        <w:t>- ограничение потребления натрия до 2 г/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сут.;</w:t>
      </w:r>
      <w:proofErr w:type="spellEnd"/>
    </w:p>
    <w:p w:rsidR="001A0283" w:rsidRDefault="001A0283" w:rsidP="001A0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ограничение потребления белка у пациентов с печеночной энцефалопатией.</w:t>
      </w:r>
    </w:p>
    <w:p w:rsidR="001A0283" w:rsidRDefault="001A0283" w:rsidP="001A0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Режим. </w:t>
      </w: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Никакие ограничения не являются обоснованными, если без их применения не ухудшается состояние пациента.</w:t>
      </w:r>
    </w:p>
    <w:p w:rsidR="001A0283" w:rsidRDefault="001A0283" w:rsidP="001A0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Подходы:</w:t>
      </w:r>
    </w:p>
    <w:p w:rsidR="001A0283" w:rsidRP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Устранение факторов, спровоцировавших гепаторенальный синдром (инфекция, 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гиповолемия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, отравление и т.п.).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Прекращение (ограничение) введения диуретиков.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Внутривенное введение альбумина (первые сутки - 1 г/кг, затем - 20-50 мг/д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ень)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кристаллоидных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растворов.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вазоконстрикторов: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допамин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норадреналин.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Экстракорпоральный альбуминовый диализ (при перспективе трансплантации печени).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При неэффективности терапии - трансплантация печени.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Трансюгулярное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портосистемное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перитонеовенозное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шунтирование.</w:t>
      </w:r>
    </w:p>
    <w:p w:rsid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ацетилцистеина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отравлениях парацетамолом.</w:t>
      </w:r>
    </w:p>
    <w:p w:rsidR="001A0283" w:rsidRPr="001A0283" w:rsidRDefault="001A0283" w:rsidP="001A028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Антибактериальная терапия (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ципрофлоксацин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норфлоксацин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сульфаметоксазол-триметоприм</w:t>
      </w:r>
      <w:proofErr w:type="spellEnd"/>
      <w:r w:rsidRPr="001A0283">
        <w:rPr>
          <w:rFonts w:ascii="Times New Roman" w:eastAsia="Times New Roman" w:hAnsi="Times New Roman"/>
          <w:sz w:val="28"/>
          <w:szCs w:val="28"/>
          <w:lang w:eastAsia="ru-RU"/>
        </w:rPr>
        <w:t>) показана при лечении, если ренальная дисфункция вызвана инфекционным процессом.</w:t>
      </w:r>
    </w:p>
    <w:p w:rsid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1A0283" w:rsidRP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A028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Исход</w:t>
      </w:r>
    </w:p>
    <w:p w:rsid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1A0283">
        <w:rPr>
          <w:rFonts w:ascii="Times New Roman" w:hAnsi="Times New Roman"/>
          <w:sz w:val="28"/>
          <w:szCs w:val="28"/>
          <w:shd w:val="clear" w:color="auto" w:fill="FFFFFF"/>
        </w:rPr>
        <w:t>Летальность без применения вазоконстрикторов близка к 100% (средняя продолжительность жизни при гепаторенальном синдроме типа I - 1-1,7 недель, II типа - 3-6 месяцев).</w:t>
      </w:r>
    </w:p>
    <w:p w:rsidR="00733546" w:rsidRPr="001A0283" w:rsidRDefault="001A0283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0283">
        <w:rPr>
          <w:rFonts w:ascii="Times New Roman" w:hAnsi="Times New Roman"/>
          <w:sz w:val="28"/>
          <w:szCs w:val="28"/>
          <w:shd w:val="clear" w:color="auto" w:fill="FFFFFF"/>
        </w:rPr>
        <w:t xml:space="preserve">Терапия альбумином с </w:t>
      </w:r>
      <w:proofErr w:type="spellStart"/>
      <w:r w:rsidRPr="001A0283">
        <w:rPr>
          <w:rFonts w:ascii="Times New Roman" w:hAnsi="Times New Roman"/>
          <w:sz w:val="28"/>
          <w:szCs w:val="28"/>
          <w:shd w:val="clear" w:color="auto" w:fill="FFFFFF"/>
        </w:rPr>
        <w:t>терлипрессином</w:t>
      </w:r>
      <w:proofErr w:type="spellEnd"/>
      <w:r w:rsidRPr="001A0283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эффективна у 60-75% больных с гепаторенальным синдромом I типа при классе тяжести цирроза печени А</w:t>
      </w:r>
      <w:proofErr w:type="gramStart"/>
      <w:r w:rsidRPr="001A0283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A0283">
        <w:rPr>
          <w:rFonts w:ascii="Times New Roman" w:hAnsi="Times New Roman"/>
          <w:sz w:val="28"/>
          <w:szCs w:val="28"/>
          <w:shd w:val="clear" w:color="auto" w:fill="FFFFFF"/>
        </w:rPr>
        <w:t xml:space="preserve"> при II типе обычно обеспечивает выживаемость в большинстве случаев.</w:t>
      </w:r>
      <w:r w:rsidRPr="001A02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1A0283">
        <w:rPr>
          <w:rFonts w:ascii="Times New Roman" w:hAnsi="Times New Roman"/>
          <w:sz w:val="28"/>
          <w:szCs w:val="28"/>
          <w:shd w:val="clear" w:color="auto" w:fill="FFFFFF"/>
        </w:rPr>
        <w:t>Наиболее эффективный метод лечения гепаторенального синдрома I типа - трансплантация печени  (5-летняя выживаемость - 60%).</w:t>
      </w:r>
      <w:r w:rsidRPr="001A0283">
        <w:rPr>
          <w:rFonts w:ascii="Times New Roman" w:hAnsi="Times New Roman"/>
          <w:sz w:val="28"/>
          <w:szCs w:val="28"/>
        </w:rPr>
        <w:br/>
      </w:r>
      <w:r w:rsidRPr="001A0283">
        <w:rPr>
          <w:rFonts w:ascii="Times New Roman" w:hAnsi="Times New Roman"/>
          <w:sz w:val="28"/>
          <w:szCs w:val="28"/>
          <w:shd w:val="clear" w:color="auto" w:fill="FFFFFF"/>
        </w:rPr>
        <w:t>После шунтирующих операций средний срок выживаемости пациентов составляет 2-4 месяца.</w:t>
      </w:r>
    </w:p>
    <w:p w:rsidR="00733546" w:rsidRPr="00733546" w:rsidRDefault="00733546" w:rsidP="00211B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8A6" w:rsidRDefault="00AE38A6" w:rsidP="00211BAA">
      <w:pPr>
        <w:autoSpaceDE w:val="0"/>
        <w:autoSpaceDN w:val="0"/>
        <w:adjustRightInd w:val="0"/>
        <w:spacing w:after="0" w:line="360" w:lineRule="auto"/>
        <w:jc w:val="both"/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1A0283" w:rsidRPr="00562A8F" w:rsidRDefault="00562A8F" w:rsidP="00562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283" w:rsidRPr="00562A8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1A0283" w:rsidRPr="00562A8F">
        <w:rPr>
          <w:rFonts w:ascii="Times New Roman" w:hAnsi="Times New Roman"/>
          <w:sz w:val="28"/>
          <w:szCs w:val="28"/>
        </w:rPr>
        <w:t xml:space="preserve">смотря на успехи медицины </w:t>
      </w:r>
      <w:r w:rsidRPr="00562A8F">
        <w:rPr>
          <w:rFonts w:ascii="Times New Roman" w:hAnsi="Times New Roman"/>
          <w:sz w:val="28"/>
          <w:szCs w:val="28"/>
        </w:rPr>
        <w:t>ГРС остается</w:t>
      </w:r>
      <w:proofErr w:type="gramEnd"/>
      <w:r w:rsidRPr="00562A8F">
        <w:rPr>
          <w:rFonts w:ascii="Times New Roman" w:hAnsi="Times New Roman"/>
          <w:sz w:val="28"/>
          <w:szCs w:val="28"/>
        </w:rPr>
        <w:t xml:space="preserve"> смертельным осложнением асцита, ассоциированного с циррозом печени, который имеет высокую частоту летальности, в том числе госпитальной. </w:t>
      </w:r>
      <w:r>
        <w:rPr>
          <w:rFonts w:ascii="Times New Roman" w:hAnsi="Times New Roman"/>
          <w:sz w:val="28"/>
          <w:szCs w:val="28"/>
        </w:rPr>
        <w:t xml:space="preserve">Учитывая особенности организации системы здравоохранения в нашей стране, врачам, курирующим больных с </w:t>
      </w:r>
      <w:proofErr w:type="spellStart"/>
      <w:r>
        <w:rPr>
          <w:rFonts w:ascii="Times New Roman" w:hAnsi="Times New Roman"/>
          <w:sz w:val="28"/>
          <w:szCs w:val="28"/>
        </w:rPr>
        <w:t>декомпенсированными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 печени, с момента выявления первого эпизода асцита рекомендуется консультация </w:t>
      </w:r>
      <w:proofErr w:type="spellStart"/>
      <w:r>
        <w:rPr>
          <w:rFonts w:ascii="Times New Roman" w:hAnsi="Times New Roman"/>
          <w:sz w:val="28"/>
          <w:szCs w:val="28"/>
        </w:rPr>
        <w:t>трансплантолога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постановки пациента в лист ожидания трансплантации печени, как раз развитие ГРС и других осложнений асцита сопряжено с высоким риском смерти. </w:t>
      </w: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AA" w:rsidRDefault="00211BAA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76" w:rsidRDefault="00643676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76" w:rsidRDefault="00643676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83" w:rsidRDefault="001A0283" w:rsidP="00233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A8F" w:rsidRDefault="00562A8F" w:rsidP="00562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C5624" w:rsidRDefault="00FC5624" w:rsidP="00395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B4AD7" w:rsidRPr="00395BFB" w:rsidRDefault="00562A8F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BFB">
        <w:rPr>
          <w:rFonts w:ascii="Times New Roman" w:hAnsi="Times New Roman"/>
          <w:sz w:val="28"/>
          <w:szCs w:val="28"/>
        </w:rPr>
        <w:t>Нагимуллин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Р. Р., Устимов Д. Ю., Давыдова В.Р., Шипулин Ф. А. Диагностические критерии гепаторенального синдрома и современные методы терапии (обзор литературы). Раны и раневые инфекции. Журнал им. проф. Б. М. </w:t>
      </w:r>
      <w:proofErr w:type="spellStart"/>
      <w:r w:rsidRPr="00395BFB">
        <w:rPr>
          <w:rFonts w:ascii="Times New Roman" w:hAnsi="Times New Roman"/>
          <w:sz w:val="28"/>
          <w:szCs w:val="28"/>
        </w:rPr>
        <w:t>Костючёнка</w:t>
      </w:r>
      <w:proofErr w:type="spellEnd"/>
      <w:r w:rsidRPr="00395BFB">
        <w:rPr>
          <w:rFonts w:ascii="Times New Roman" w:hAnsi="Times New Roman"/>
          <w:sz w:val="28"/>
          <w:szCs w:val="28"/>
        </w:rPr>
        <w:t>. 2017, 4 (2): 6–11.</w:t>
      </w:r>
    </w:p>
    <w:p w:rsidR="00562A8F" w:rsidRPr="00395BFB" w:rsidRDefault="00562A8F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BFB">
        <w:rPr>
          <w:rFonts w:ascii="Times New Roman" w:hAnsi="Times New Roman"/>
          <w:sz w:val="28"/>
          <w:szCs w:val="28"/>
        </w:rPr>
        <w:t>Нагимуллин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Р.Р., Шипулин Ф.А., </w:t>
      </w:r>
      <w:proofErr w:type="spellStart"/>
      <w:r w:rsidRPr="00395BFB">
        <w:rPr>
          <w:rFonts w:ascii="Times New Roman" w:hAnsi="Times New Roman"/>
          <w:sz w:val="28"/>
          <w:szCs w:val="28"/>
        </w:rPr>
        <w:t>Баялиева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А.Ж. Гепаторенальный синдром в комплексе острой печеночно-почечной недостаточности: современные аспекты клиники и интенсивной терапии. </w:t>
      </w:r>
      <w:proofErr w:type="spellStart"/>
      <w:r w:rsidRPr="00395BFB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хирургия и онкология. 2018;</w:t>
      </w:r>
    </w:p>
    <w:p w:rsidR="00562A8F" w:rsidRPr="00395BFB" w:rsidRDefault="00395BFB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5BFB">
        <w:rPr>
          <w:rFonts w:ascii="Times New Roman" w:hAnsi="Times New Roman"/>
          <w:sz w:val="28"/>
          <w:szCs w:val="28"/>
        </w:rPr>
        <w:t xml:space="preserve">ГЕПАТОРЕНАЛЬНЫЙ СИНДРОМ: ПРАКТИЧЕСКИЕ РЕКОМЕНДАЦИИ ПО ДИАГНОСТИКЕ И ЛЕЧЕНИЮ. Альманах клинической медицины 2014г. Бакулин И.Г., </w:t>
      </w:r>
      <w:proofErr w:type="spellStart"/>
      <w:r w:rsidRPr="00395BFB">
        <w:rPr>
          <w:rFonts w:ascii="Times New Roman" w:hAnsi="Times New Roman"/>
          <w:sz w:val="28"/>
          <w:szCs w:val="28"/>
        </w:rPr>
        <w:t>Варламичева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А.А.</w:t>
      </w:r>
    </w:p>
    <w:p w:rsidR="00395BFB" w:rsidRPr="00395BFB" w:rsidRDefault="00395BFB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5BFB">
        <w:rPr>
          <w:rFonts w:ascii="Times New Roman" w:hAnsi="Times New Roman"/>
          <w:sz w:val="28"/>
          <w:szCs w:val="28"/>
        </w:rPr>
        <w:t xml:space="preserve">Ивашкин В.Т., Маевская М.В., Павлов Ч.С., Федосьина Е.А., Бессонова Е.Н., Пирогова И.Ю., </w:t>
      </w:r>
      <w:proofErr w:type="spellStart"/>
      <w:r w:rsidRPr="00395BFB">
        <w:rPr>
          <w:rFonts w:ascii="Times New Roman" w:hAnsi="Times New Roman"/>
          <w:sz w:val="28"/>
          <w:szCs w:val="28"/>
        </w:rPr>
        <w:t>Гарбузенко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Д.В. Клинические рекомендации </w:t>
      </w:r>
      <w:proofErr w:type="spellStart"/>
      <w:r w:rsidRPr="00395BFB">
        <w:rPr>
          <w:rFonts w:ascii="Times New Roman" w:hAnsi="Times New Roman"/>
          <w:sz w:val="28"/>
          <w:szCs w:val="28"/>
        </w:rPr>
        <w:t>Российского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общества по изучению печении </w:t>
      </w:r>
      <w:proofErr w:type="spellStart"/>
      <w:r w:rsidRPr="00395BFB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95BFB">
        <w:rPr>
          <w:rFonts w:ascii="Times New Roman" w:hAnsi="Times New Roman"/>
          <w:sz w:val="28"/>
          <w:szCs w:val="28"/>
        </w:rPr>
        <w:t>гастроэнтерологическои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̆ ассоциации по лечению осложнений цирроза печени. Рос </w:t>
      </w:r>
      <w:proofErr w:type="spellStart"/>
      <w:proofErr w:type="gramStart"/>
      <w:r w:rsidRPr="00395BFB">
        <w:rPr>
          <w:rFonts w:ascii="Times New Roman" w:hAnsi="Times New Roman"/>
          <w:sz w:val="28"/>
          <w:szCs w:val="28"/>
        </w:rPr>
        <w:t>журн</w:t>
      </w:r>
      <w:proofErr w:type="spellEnd"/>
      <w:proofErr w:type="gramEnd"/>
      <w:r w:rsidRPr="00395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FB">
        <w:rPr>
          <w:rFonts w:ascii="Times New Roman" w:hAnsi="Times New Roman"/>
          <w:sz w:val="28"/>
          <w:szCs w:val="28"/>
        </w:rPr>
        <w:t>гастроэнтерол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FB">
        <w:rPr>
          <w:rFonts w:ascii="Times New Roman" w:hAnsi="Times New Roman"/>
          <w:sz w:val="28"/>
          <w:szCs w:val="28"/>
        </w:rPr>
        <w:t>гепатол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FB">
        <w:rPr>
          <w:rFonts w:ascii="Times New Roman" w:hAnsi="Times New Roman"/>
          <w:sz w:val="28"/>
          <w:szCs w:val="28"/>
        </w:rPr>
        <w:t>колопроктол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 2016;26(4):71-102</w:t>
      </w:r>
    </w:p>
    <w:p w:rsidR="00395BFB" w:rsidRPr="00395BFB" w:rsidRDefault="00395BFB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5BFB">
        <w:rPr>
          <w:rFonts w:ascii="Times New Roman" w:hAnsi="Times New Roman"/>
          <w:sz w:val="28"/>
          <w:szCs w:val="28"/>
        </w:rPr>
        <w:t xml:space="preserve">Этиологическая структура циррозов печени у детей С. Б. </w:t>
      </w:r>
      <w:proofErr w:type="spellStart"/>
      <w:r w:rsidRPr="00395BFB">
        <w:rPr>
          <w:rFonts w:ascii="Times New Roman" w:hAnsi="Times New Roman"/>
          <w:sz w:val="28"/>
          <w:szCs w:val="28"/>
        </w:rPr>
        <w:t>Чуелов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, А. Л. </w:t>
      </w:r>
      <w:proofErr w:type="spellStart"/>
      <w:r w:rsidRPr="00395BFB">
        <w:rPr>
          <w:rFonts w:ascii="Times New Roman" w:hAnsi="Times New Roman"/>
          <w:sz w:val="28"/>
          <w:szCs w:val="28"/>
        </w:rPr>
        <w:t>Россина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, А. В. Смирнов, И. Б. Брюсова, Г. И. Волкова, Ю. Н. Иванова, А. В. Дроздов, Л. М. Карпина, В. П. Нажимов, А. Э. Степанов ГОУ ВПО Российский государственный медицинский университет </w:t>
      </w:r>
      <w:proofErr w:type="spellStart"/>
      <w:r w:rsidRPr="00395BFB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, Российская детская клиническая больница </w:t>
      </w:r>
      <w:proofErr w:type="spellStart"/>
      <w:r w:rsidRPr="00395BFB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395BFB">
        <w:rPr>
          <w:rFonts w:ascii="Times New Roman" w:hAnsi="Times New Roman"/>
          <w:sz w:val="28"/>
          <w:szCs w:val="28"/>
        </w:rPr>
        <w:t>, Москва</w:t>
      </w:r>
    </w:p>
    <w:p w:rsidR="00395BFB" w:rsidRPr="00395BFB" w:rsidRDefault="00395BFB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95BFB">
        <w:rPr>
          <w:rFonts w:ascii="Times New Roman" w:hAnsi="Times New Roman"/>
          <w:sz w:val="28"/>
          <w:szCs w:val="28"/>
        </w:rPr>
        <w:t>ГЕПАТО-РЕНАЛЬНЫЙ</w:t>
      </w:r>
      <w:proofErr w:type="gramEnd"/>
      <w:r w:rsidRPr="00395BFB">
        <w:rPr>
          <w:rFonts w:ascii="Times New Roman" w:hAnsi="Times New Roman"/>
          <w:sz w:val="28"/>
          <w:szCs w:val="28"/>
        </w:rPr>
        <w:t xml:space="preserve"> СИНДРОМ ПРИ ХРОНИЧЕСКОМ ВИРУСНОМ ГЕПАТИТЕ С. Евразийский Союз Ученых (ЕСУ) # 5 (26), 2016. </w:t>
      </w:r>
    </w:p>
    <w:p w:rsidR="00395BFB" w:rsidRPr="00395BFB" w:rsidRDefault="00395BFB" w:rsidP="00395B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BFB">
        <w:rPr>
          <w:rFonts w:ascii="Times New Roman" w:hAnsi="Times New Roman"/>
          <w:sz w:val="28"/>
          <w:szCs w:val="28"/>
          <w:lang w:val="en-US"/>
        </w:rPr>
        <w:t>Egerod</w:t>
      </w:r>
      <w:proofErr w:type="spellEnd"/>
      <w:r w:rsidRPr="00395B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5BFB">
        <w:rPr>
          <w:rFonts w:ascii="Times New Roman" w:hAnsi="Times New Roman"/>
          <w:sz w:val="28"/>
          <w:szCs w:val="28"/>
          <w:lang w:val="en-US"/>
        </w:rPr>
        <w:t>Israelsen</w:t>
      </w:r>
      <w:proofErr w:type="spellEnd"/>
      <w:r w:rsidRPr="00395BFB">
        <w:rPr>
          <w:rFonts w:ascii="Times New Roman" w:hAnsi="Times New Roman"/>
          <w:sz w:val="28"/>
          <w:szCs w:val="28"/>
          <w:lang w:val="en-US"/>
        </w:rPr>
        <w:t xml:space="preserve"> M. Acute kidney injury and </w:t>
      </w:r>
      <w:proofErr w:type="spellStart"/>
      <w:r w:rsidRPr="00395BFB">
        <w:rPr>
          <w:rFonts w:ascii="Times New Roman" w:hAnsi="Times New Roman"/>
          <w:sz w:val="28"/>
          <w:szCs w:val="28"/>
          <w:lang w:val="en-US"/>
        </w:rPr>
        <w:t>hepatorenal</w:t>
      </w:r>
      <w:proofErr w:type="spellEnd"/>
      <w:r w:rsidRPr="00395BFB">
        <w:rPr>
          <w:rFonts w:ascii="Times New Roman" w:hAnsi="Times New Roman"/>
          <w:sz w:val="28"/>
          <w:szCs w:val="28"/>
          <w:lang w:val="en-US"/>
        </w:rPr>
        <w:t xml:space="preserve"> syndrome in cirrhosis. </w:t>
      </w:r>
      <w:r w:rsidRPr="00395BFB">
        <w:rPr>
          <w:rFonts w:ascii="Times New Roman" w:hAnsi="Times New Roman"/>
          <w:sz w:val="28"/>
          <w:szCs w:val="28"/>
        </w:rPr>
        <w:t xml:space="preserve">J. </w:t>
      </w:r>
      <w:proofErr w:type="spellStart"/>
      <w:r w:rsidRPr="00395BFB">
        <w:rPr>
          <w:rFonts w:ascii="Times New Roman" w:hAnsi="Times New Roman"/>
          <w:sz w:val="28"/>
          <w:szCs w:val="28"/>
        </w:rPr>
        <w:t>Gastroenterol</w:t>
      </w:r>
      <w:proofErr w:type="spellEnd"/>
      <w:r w:rsidRPr="00395B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5BFB">
        <w:rPr>
          <w:rFonts w:ascii="Times New Roman" w:hAnsi="Times New Roman"/>
          <w:sz w:val="28"/>
          <w:szCs w:val="28"/>
        </w:rPr>
        <w:t>Hepatol</w:t>
      </w:r>
      <w:proofErr w:type="spellEnd"/>
      <w:r w:rsidRPr="00395BFB">
        <w:rPr>
          <w:rFonts w:ascii="Times New Roman" w:hAnsi="Times New Roman"/>
          <w:sz w:val="28"/>
          <w:szCs w:val="28"/>
        </w:rPr>
        <w:t>. 2015; 30(2): 236–243.</w:t>
      </w:r>
    </w:p>
    <w:p w:rsidR="00FC5624" w:rsidRPr="00562A8F" w:rsidRDefault="00FC5624"/>
    <w:sectPr w:rsidR="00FC5624" w:rsidRPr="00562A8F" w:rsidSect="00FC56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EC"/>
    <w:multiLevelType w:val="hybridMultilevel"/>
    <w:tmpl w:val="B568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353"/>
    <w:multiLevelType w:val="multilevel"/>
    <w:tmpl w:val="634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15FE"/>
    <w:multiLevelType w:val="multilevel"/>
    <w:tmpl w:val="D5C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91A59"/>
    <w:multiLevelType w:val="hybridMultilevel"/>
    <w:tmpl w:val="2480A138"/>
    <w:lvl w:ilvl="0" w:tplc="A4225E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3210"/>
    <w:multiLevelType w:val="hybridMultilevel"/>
    <w:tmpl w:val="9EA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7B82"/>
    <w:multiLevelType w:val="hybridMultilevel"/>
    <w:tmpl w:val="886C1F88"/>
    <w:lvl w:ilvl="0" w:tplc="1382C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624"/>
    <w:rsid w:val="00034D37"/>
    <w:rsid w:val="00035122"/>
    <w:rsid w:val="00036488"/>
    <w:rsid w:val="000511EE"/>
    <w:rsid w:val="0006167F"/>
    <w:rsid w:val="00085D7B"/>
    <w:rsid w:val="00090F89"/>
    <w:rsid w:val="000976DC"/>
    <w:rsid w:val="000B179E"/>
    <w:rsid w:val="000E5E1B"/>
    <w:rsid w:val="001126B4"/>
    <w:rsid w:val="0012321E"/>
    <w:rsid w:val="001505E7"/>
    <w:rsid w:val="00187434"/>
    <w:rsid w:val="001A0283"/>
    <w:rsid w:val="001A0338"/>
    <w:rsid w:val="001B138F"/>
    <w:rsid w:val="001D4B89"/>
    <w:rsid w:val="001E6875"/>
    <w:rsid w:val="001F377B"/>
    <w:rsid w:val="001F403E"/>
    <w:rsid w:val="001F763F"/>
    <w:rsid w:val="00207D7D"/>
    <w:rsid w:val="00211BAA"/>
    <w:rsid w:val="002254EE"/>
    <w:rsid w:val="0023122A"/>
    <w:rsid w:val="00233677"/>
    <w:rsid w:val="00260109"/>
    <w:rsid w:val="0026401C"/>
    <w:rsid w:val="002868D0"/>
    <w:rsid w:val="00290A57"/>
    <w:rsid w:val="002A3ED4"/>
    <w:rsid w:val="002B23C4"/>
    <w:rsid w:val="002C7505"/>
    <w:rsid w:val="002C78A8"/>
    <w:rsid w:val="002C7C63"/>
    <w:rsid w:val="002D3A82"/>
    <w:rsid w:val="002D4F2C"/>
    <w:rsid w:val="00346FC6"/>
    <w:rsid w:val="003659E2"/>
    <w:rsid w:val="00382543"/>
    <w:rsid w:val="00386E05"/>
    <w:rsid w:val="00391EF7"/>
    <w:rsid w:val="00395BFB"/>
    <w:rsid w:val="003A2366"/>
    <w:rsid w:val="003D0366"/>
    <w:rsid w:val="003D078F"/>
    <w:rsid w:val="003D2A95"/>
    <w:rsid w:val="003E06CB"/>
    <w:rsid w:val="00400DA0"/>
    <w:rsid w:val="00421960"/>
    <w:rsid w:val="0043187C"/>
    <w:rsid w:val="00441FD3"/>
    <w:rsid w:val="00467AB1"/>
    <w:rsid w:val="00472328"/>
    <w:rsid w:val="00476FD8"/>
    <w:rsid w:val="00480BB8"/>
    <w:rsid w:val="00483D0B"/>
    <w:rsid w:val="004861D3"/>
    <w:rsid w:val="004B24E3"/>
    <w:rsid w:val="004C77E6"/>
    <w:rsid w:val="004D0756"/>
    <w:rsid w:val="004E3CB3"/>
    <w:rsid w:val="004E596D"/>
    <w:rsid w:val="004F274D"/>
    <w:rsid w:val="00516312"/>
    <w:rsid w:val="00535A4C"/>
    <w:rsid w:val="00562A8F"/>
    <w:rsid w:val="00575D89"/>
    <w:rsid w:val="005B4BCC"/>
    <w:rsid w:val="005B710F"/>
    <w:rsid w:val="005D2279"/>
    <w:rsid w:val="0061771E"/>
    <w:rsid w:val="00626AAA"/>
    <w:rsid w:val="00643676"/>
    <w:rsid w:val="00643719"/>
    <w:rsid w:val="00672D99"/>
    <w:rsid w:val="006823AA"/>
    <w:rsid w:val="00682793"/>
    <w:rsid w:val="0068293E"/>
    <w:rsid w:val="00687159"/>
    <w:rsid w:val="006D7D40"/>
    <w:rsid w:val="006E2CA7"/>
    <w:rsid w:val="00705BE6"/>
    <w:rsid w:val="00733546"/>
    <w:rsid w:val="00736404"/>
    <w:rsid w:val="00757696"/>
    <w:rsid w:val="00777A8F"/>
    <w:rsid w:val="00784B24"/>
    <w:rsid w:val="00793E4A"/>
    <w:rsid w:val="007B44A9"/>
    <w:rsid w:val="007D2A4B"/>
    <w:rsid w:val="007F3BE9"/>
    <w:rsid w:val="00801AAF"/>
    <w:rsid w:val="0080269B"/>
    <w:rsid w:val="00805B4C"/>
    <w:rsid w:val="00827742"/>
    <w:rsid w:val="00853CFD"/>
    <w:rsid w:val="0087117D"/>
    <w:rsid w:val="008A2150"/>
    <w:rsid w:val="008B25AC"/>
    <w:rsid w:val="008B6B0E"/>
    <w:rsid w:val="008E04AB"/>
    <w:rsid w:val="008E659A"/>
    <w:rsid w:val="00907B9A"/>
    <w:rsid w:val="00954645"/>
    <w:rsid w:val="009553EB"/>
    <w:rsid w:val="0096660C"/>
    <w:rsid w:val="00967F06"/>
    <w:rsid w:val="00972678"/>
    <w:rsid w:val="00972BC8"/>
    <w:rsid w:val="00976032"/>
    <w:rsid w:val="00991D98"/>
    <w:rsid w:val="00991DC5"/>
    <w:rsid w:val="00992323"/>
    <w:rsid w:val="009B29C3"/>
    <w:rsid w:val="009C0842"/>
    <w:rsid w:val="009D2CE5"/>
    <w:rsid w:val="009D7744"/>
    <w:rsid w:val="00A04D4A"/>
    <w:rsid w:val="00A153FC"/>
    <w:rsid w:val="00A24E14"/>
    <w:rsid w:val="00A510B6"/>
    <w:rsid w:val="00A65DD7"/>
    <w:rsid w:val="00AA03FA"/>
    <w:rsid w:val="00AA52B3"/>
    <w:rsid w:val="00AE2B56"/>
    <w:rsid w:val="00AE38A6"/>
    <w:rsid w:val="00B014A6"/>
    <w:rsid w:val="00B1149E"/>
    <w:rsid w:val="00B25918"/>
    <w:rsid w:val="00B25C13"/>
    <w:rsid w:val="00B34C3C"/>
    <w:rsid w:val="00B36C68"/>
    <w:rsid w:val="00B42759"/>
    <w:rsid w:val="00B556A1"/>
    <w:rsid w:val="00B63CA0"/>
    <w:rsid w:val="00B74203"/>
    <w:rsid w:val="00B779B9"/>
    <w:rsid w:val="00BB78C6"/>
    <w:rsid w:val="00BC17D8"/>
    <w:rsid w:val="00BD79F8"/>
    <w:rsid w:val="00BE12C4"/>
    <w:rsid w:val="00BE4DBE"/>
    <w:rsid w:val="00BE718F"/>
    <w:rsid w:val="00C20B11"/>
    <w:rsid w:val="00C341C9"/>
    <w:rsid w:val="00C44975"/>
    <w:rsid w:val="00C548BE"/>
    <w:rsid w:val="00C61FCE"/>
    <w:rsid w:val="00C7590D"/>
    <w:rsid w:val="00CC29CD"/>
    <w:rsid w:val="00CE7417"/>
    <w:rsid w:val="00CE7D62"/>
    <w:rsid w:val="00D33F40"/>
    <w:rsid w:val="00D36A41"/>
    <w:rsid w:val="00D56C75"/>
    <w:rsid w:val="00D670C4"/>
    <w:rsid w:val="00D83DA0"/>
    <w:rsid w:val="00DA56A8"/>
    <w:rsid w:val="00DA7C81"/>
    <w:rsid w:val="00DB4AD7"/>
    <w:rsid w:val="00DB6306"/>
    <w:rsid w:val="00DB7F66"/>
    <w:rsid w:val="00DC31AA"/>
    <w:rsid w:val="00E1541F"/>
    <w:rsid w:val="00E2241B"/>
    <w:rsid w:val="00E350DB"/>
    <w:rsid w:val="00E3520D"/>
    <w:rsid w:val="00E457B1"/>
    <w:rsid w:val="00E50B0F"/>
    <w:rsid w:val="00EC522E"/>
    <w:rsid w:val="00EC6774"/>
    <w:rsid w:val="00ED7CAB"/>
    <w:rsid w:val="00EE7757"/>
    <w:rsid w:val="00EF5245"/>
    <w:rsid w:val="00EF64B3"/>
    <w:rsid w:val="00F06FF3"/>
    <w:rsid w:val="00F174A0"/>
    <w:rsid w:val="00F710A8"/>
    <w:rsid w:val="00F904C3"/>
    <w:rsid w:val="00F93572"/>
    <w:rsid w:val="00FC5624"/>
    <w:rsid w:val="00FD1BDD"/>
    <w:rsid w:val="00FD5FA7"/>
    <w:rsid w:val="00FE4F60"/>
    <w:rsid w:val="00FF08B5"/>
    <w:rsid w:val="00F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4"/>
    <w:pPr>
      <w:ind w:left="720"/>
      <w:contextualSpacing/>
    </w:pPr>
  </w:style>
  <w:style w:type="paragraph" w:customStyle="1" w:styleId="pboth">
    <w:name w:val="pboth"/>
    <w:basedOn w:val="a"/>
    <w:rsid w:val="00784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B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1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DB4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53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53CFD"/>
    <w:rPr>
      <w:color w:val="0000FF"/>
      <w:u w:val="single"/>
    </w:rPr>
  </w:style>
  <w:style w:type="character" w:styleId="a9">
    <w:name w:val="Strong"/>
    <w:basedOn w:val="a0"/>
    <w:uiPriority w:val="22"/>
    <w:qFormat/>
    <w:rsid w:val="00733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ed.ru/guides/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ed.ru/guides/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ed.ru/guides/43940/doctor/" TargetMode="External"/><Relationship Id="rId5" Type="http://schemas.openxmlformats.org/officeDocument/2006/relationships/hyperlink" Target="https://www.smed.ru/guides/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2020-07-30T12:29:00Z</dcterms:created>
  <dcterms:modified xsi:type="dcterms:W3CDTF">2020-07-30T12:29:00Z</dcterms:modified>
</cp:coreProperties>
</file>