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54C1" w14:textId="77777777" w:rsidR="00C82CB0" w:rsidRPr="00C82CB0" w:rsidRDefault="00C82CB0" w:rsidP="00C82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CB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661434F8" w14:textId="77777777" w:rsidR="00C82CB0" w:rsidRPr="00C82CB0" w:rsidRDefault="00C82CB0" w:rsidP="00C82CB0">
      <w:pPr>
        <w:jc w:val="center"/>
        <w:rPr>
          <w:rFonts w:ascii="Times New Roman" w:hAnsi="Times New Roman" w:cs="Times New Roman"/>
        </w:rPr>
      </w:pPr>
    </w:p>
    <w:p w14:paraId="30410B86" w14:textId="77777777" w:rsidR="00C82CB0" w:rsidRPr="00C82CB0" w:rsidRDefault="00C82CB0" w:rsidP="00C82CB0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hyperlink r:id="rId5" w:history="1">
        <w:r w:rsidRPr="00C82CB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4A63F011" w14:textId="77777777" w:rsidR="00C82CB0" w:rsidRPr="00C82CB0" w:rsidRDefault="00C82CB0" w:rsidP="00C82CB0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6FD9497" w14:textId="77777777" w:rsidR="00C82CB0" w:rsidRPr="00C82CB0" w:rsidRDefault="00C82CB0" w:rsidP="00C82CB0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93A4B94" w14:textId="77777777" w:rsidR="00C82CB0" w:rsidRPr="00C82CB0" w:rsidRDefault="00C82CB0" w:rsidP="00C82CB0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C726E2B" w14:textId="77777777" w:rsidR="00C82CB0" w:rsidRPr="00C82CB0" w:rsidRDefault="00C82CB0" w:rsidP="00C82CB0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CF935C5" w14:textId="77777777" w:rsidR="00C82CB0" w:rsidRPr="00C82CB0" w:rsidRDefault="00C82CB0" w:rsidP="00C82CB0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C82CB0"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Реферат</w:t>
      </w:r>
    </w:p>
    <w:p w14:paraId="5F90B1B6" w14:textId="6FAF5CC2" w:rsidR="00C82CB0" w:rsidRPr="00C82CB0" w:rsidRDefault="00C82CB0" w:rsidP="00C82CB0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C82CB0">
        <w:rPr>
          <w:rStyle w:val="a7"/>
          <w:rFonts w:ascii="Times New Roman" w:hAnsi="Times New Roman" w:cs="Times New Roman"/>
          <w:i w:val="0"/>
          <w:iCs w:val="0"/>
          <w:color w:val="auto"/>
          <w:sz w:val="40"/>
          <w:szCs w:val="40"/>
        </w:rPr>
        <w:t>«</w:t>
      </w:r>
      <w:proofErr w:type="spellStart"/>
      <w:r w:rsidRPr="00C82CB0">
        <w:rPr>
          <w:rFonts w:ascii="Times New Roman" w:hAnsi="Times New Roman" w:cs="Times New Roman"/>
          <w:sz w:val="40"/>
          <w:szCs w:val="40"/>
          <w:lang w:eastAsia="ru-RU"/>
        </w:rPr>
        <w:t>Гонартроз</w:t>
      </w:r>
      <w:proofErr w:type="spellEnd"/>
      <w:r w:rsidRPr="00C82CB0">
        <w:rPr>
          <w:rFonts w:ascii="Times New Roman" w:hAnsi="Times New Roman" w:cs="Times New Roman"/>
          <w:sz w:val="40"/>
          <w:szCs w:val="40"/>
          <w:lang w:eastAsia="ru-RU"/>
        </w:rPr>
        <w:t>»</w:t>
      </w:r>
    </w:p>
    <w:p w14:paraId="4CFE8994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5BF0D346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40E5FC78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521371D7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4F0334AC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49089615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6972772C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6752C120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6CC7E946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4C4D1DE9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45815AAC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0E8048F6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6A7BBBFD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27E7C2B6" w14:textId="77777777" w:rsidR="00C82CB0" w:rsidRPr="00C82CB0" w:rsidRDefault="00C82CB0" w:rsidP="00C82CB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82CB0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Выполнила: Ординатор </w:t>
      </w:r>
    </w:p>
    <w:p w14:paraId="012585E1" w14:textId="77777777" w:rsidR="00C82CB0" w:rsidRPr="00C82CB0" w:rsidRDefault="00C82CB0" w:rsidP="00C82CB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82CB0">
        <w:rPr>
          <w:rFonts w:ascii="Times New Roman" w:hAnsi="Times New Roman" w:cs="Times New Roman"/>
          <w:sz w:val="28"/>
          <w:szCs w:val="28"/>
          <w:lang w:eastAsia="ru-RU"/>
        </w:rPr>
        <w:t>кафедры травматологии,</w:t>
      </w:r>
    </w:p>
    <w:p w14:paraId="178DC056" w14:textId="77777777" w:rsidR="00C82CB0" w:rsidRPr="00C82CB0" w:rsidRDefault="00C82CB0" w:rsidP="00C82CB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82CB0">
        <w:rPr>
          <w:rFonts w:ascii="Times New Roman" w:hAnsi="Times New Roman" w:cs="Times New Roman"/>
          <w:sz w:val="28"/>
          <w:szCs w:val="28"/>
          <w:lang w:eastAsia="ru-RU"/>
        </w:rPr>
        <w:t xml:space="preserve"> ортопедии и нейрохирургии </w:t>
      </w:r>
    </w:p>
    <w:p w14:paraId="3418748B" w14:textId="77777777" w:rsidR="00C82CB0" w:rsidRPr="00C82CB0" w:rsidRDefault="00C82CB0" w:rsidP="00C82CB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82CB0">
        <w:rPr>
          <w:rFonts w:ascii="Times New Roman" w:hAnsi="Times New Roman" w:cs="Times New Roman"/>
          <w:sz w:val="28"/>
          <w:szCs w:val="28"/>
          <w:lang w:eastAsia="ru-RU"/>
        </w:rPr>
        <w:t>с курсом ПО</w:t>
      </w:r>
    </w:p>
    <w:p w14:paraId="293BBA8C" w14:textId="77777777" w:rsidR="00C82CB0" w:rsidRPr="00C82CB0" w:rsidRDefault="00C82CB0" w:rsidP="00C82CB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82CB0">
        <w:rPr>
          <w:rFonts w:ascii="Times New Roman" w:hAnsi="Times New Roman" w:cs="Times New Roman"/>
          <w:sz w:val="28"/>
          <w:szCs w:val="28"/>
          <w:lang w:eastAsia="ru-RU"/>
        </w:rPr>
        <w:t>Амельченко А. И.</w:t>
      </w:r>
    </w:p>
    <w:p w14:paraId="737057F9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37EBDC1D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6E680EF0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2911F531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30F810C6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37A849B5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4E206D0F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4D04BD27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49D95FCD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333D251F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4BC5F472" w14:textId="77777777" w:rsidR="00C82CB0" w:rsidRPr="00C82CB0" w:rsidRDefault="00C82CB0" w:rsidP="00C82CB0">
      <w:pPr>
        <w:pStyle w:val="a5"/>
        <w:rPr>
          <w:rFonts w:ascii="Times New Roman" w:hAnsi="Times New Roman" w:cs="Times New Roman"/>
          <w:lang w:eastAsia="ru-RU"/>
        </w:rPr>
      </w:pPr>
    </w:p>
    <w:p w14:paraId="043F9F9F" w14:textId="77777777" w:rsidR="00C82CB0" w:rsidRPr="00C82CB0" w:rsidRDefault="00C82CB0" w:rsidP="00C82CB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17DB40F3" w14:textId="77777777" w:rsidR="00C82CB0" w:rsidRPr="00C82CB0" w:rsidRDefault="00C82CB0" w:rsidP="00C82CB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15767DE" w14:textId="77777777" w:rsidR="00C82CB0" w:rsidRPr="00C82CB0" w:rsidRDefault="00C82CB0" w:rsidP="00C82CB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2CB0">
        <w:rPr>
          <w:rFonts w:ascii="Times New Roman" w:hAnsi="Times New Roman" w:cs="Times New Roman"/>
          <w:sz w:val="24"/>
          <w:szCs w:val="24"/>
          <w:lang w:eastAsia="ru-RU"/>
        </w:rPr>
        <w:t>Красноярск, 2019</w:t>
      </w:r>
    </w:p>
    <w:p w14:paraId="21389554" w14:textId="77777777" w:rsidR="00C82CB0" w:rsidRPr="00C82CB0" w:rsidRDefault="00C82CB0" w:rsidP="00C82CB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82C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План реферата</w:t>
      </w:r>
    </w:p>
    <w:p w14:paraId="12C57DA7" w14:textId="6CA50314" w:rsidR="00C82CB0" w:rsidRDefault="00C82CB0" w:rsidP="00C82CB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гонартроза</w:t>
      </w:r>
      <w:proofErr w:type="spellEnd"/>
    </w:p>
    <w:p w14:paraId="1173FBDF" w14:textId="32483E2D" w:rsidR="00C82CB0" w:rsidRDefault="00C82CB0" w:rsidP="00C82CB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Факторы риска</w:t>
      </w:r>
    </w:p>
    <w:p w14:paraId="18862528" w14:textId="701CA9D8" w:rsidR="00C82CB0" w:rsidRPr="00C82CB0" w:rsidRDefault="00C82CB0" w:rsidP="00C82CB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Клиническая картина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гонартроза</w:t>
      </w:r>
      <w:proofErr w:type="spellEnd"/>
    </w:p>
    <w:p w14:paraId="3D7223BE" w14:textId="43D4D366" w:rsidR="00C82CB0" w:rsidRDefault="00C82CB0" w:rsidP="00C82CB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Диагностические критерии (жалобы, анамнез, </w:t>
      </w:r>
      <w:proofErr w:type="spellStart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обследование, инструментальные исследования)</w:t>
      </w:r>
    </w:p>
    <w:p w14:paraId="56BEBB22" w14:textId="5984C03A" w:rsidR="00C82CB0" w:rsidRPr="00C82CB0" w:rsidRDefault="00C82CB0" w:rsidP="00C82CB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Дифференциальный диагноз</w:t>
      </w:r>
    </w:p>
    <w:p w14:paraId="5ED21314" w14:textId="77777777" w:rsidR="00C82CB0" w:rsidRPr="00C82CB0" w:rsidRDefault="00C82CB0" w:rsidP="00C82CB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</w:t>
      </w:r>
    </w:p>
    <w:p w14:paraId="5ACD9DDB" w14:textId="77777777" w:rsidR="00C82CB0" w:rsidRPr="00C82CB0" w:rsidRDefault="00C82CB0" w:rsidP="00C82CB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</w:t>
      </w:r>
    </w:p>
    <w:p w14:paraId="7F659F18" w14:textId="77777777" w:rsidR="00C82CB0" w:rsidRPr="00C82CB0" w:rsidRDefault="00C82CB0" w:rsidP="00C82CB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</w:t>
      </w:r>
    </w:p>
    <w:p w14:paraId="78955A1F" w14:textId="77777777" w:rsidR="00C82CB0" w:rsidRPr="00C82CB0" w:rsidRDefault="00C82CB0" w:rsidP="00C82CB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14:paraId="6D15782D" w14:textId="77777777" w:rsidR="00C82CB0" w:rsidRPr="00C82CB0" w:rsidRDefault="00C82CB0" w:rsidP="00C82CB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DE8D60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04042FB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A3AF05C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6943EAB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0E9BD0A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7020286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4C1E925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5B92F7A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51821AB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08CC937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A8486B8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F1DF79C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2F7A405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D9A3AF0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011C350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F5D3524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E68CDAB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0509E37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515A24C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EB8FDA9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5652799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25141D0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1A3CF74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87811DD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3C977F0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D2C13F0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4CBABC1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56A97CB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F2E4438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858C8D2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845AB46" w14:textId="77777777" w:rsidR="00453CA3" w:rsidRDefault="00453CA3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7C732B9" w14:textId="511CC886" w:rsidR="00C82CB0" w:rsidRDefault="007B71F0" w:rsidP="007B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proofErr w:type="gramStart"/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Клиническая  классификация</w:t>
      </w:r>
      <w:proofErr w:type="gramEnd"/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14:paraId="732B7DDD" w14:textId="77777777" w:rsidR="00C82CB0" w:rsidRDefault="007B71F0" w:rsidP="007B7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I. Первичный (идиопатический)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II. Вторичный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 посттравматический;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 врожденные;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 приобретенные;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 эндемические заболевания;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 метаболические болезни;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 эндокринопатии;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 болезнь отложения кальция (фосфат кальция, гидроксиапатит);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 невропатии;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·     другие заболевания (аваскулярный некроз, ревматоидный артрит, болезнь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Педжета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др.).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Классификация ОА (Насонова В.А., Астапенко М.Г., 1989):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I. Патогенетические варианты     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      первичный (идиопатический);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·          вторичный (обусловлен дисплазией, травмами, нарушениями статики,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гипермобильностью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суставов, артритами и др.).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II. Клинические формы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·         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полиостеоартроз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·         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олигоостеоартроз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(поражение двух и более суставов, но не более двух групп суставов).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·         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моноартроз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      в сочетании с ОА позвоночника, спондилоартрозом.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III. Преимущественная локализация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·          межфаланговые суставы (узелки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Гебердена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Бушара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      тазобедренные суставы (коксартроз);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·          коленные </w:t>
      </w:r>
      <w:proofErr w:type="gram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суставы  (</w:t>
      </w:r>
      <w:proofErr w:type="spellStart"/>
      <w:proofErr w:type="gram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гонартроз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      другие суставы.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IV. Рентгенологическая стадия (по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KellgrenJ.H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 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LawrenceJ.S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 :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I ,II, III, IV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V.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Синовит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      имеется;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      отсутствует.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VI.Функциональная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способность суставов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      функциональная способность ограничена (ФН*-1);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      трудоспособность утрачена (ФН-2);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      нуждается в постореннем уходе (ФН-3).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Факторы риска: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78DAF6D0" w14:textId="7FF19D46" w:rsidR="007B71F0" w:rsidRPr="00C82CB0" w:rsidRDefault="007B71F0" w:rsidP="007B7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ОА возникает вследствие взаимодействия множества генетических и средовых факторов (таб.1). Именно анализ факторов риска развития ОА различных локализаций способствовал возникновению концепции о 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гетерогенности заболевания.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Таблица 1 -Факторы риска возникновения ОА (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CraemerP</w:t>
      </w:r>
      <w:proofErr w:type="spellEnd"/>
      <w:proofErr w:type="gram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.,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HochbergMC</w:t>
      </w:r>
      <w:proofErr w:type="spellEnd"/>
      <w:proofErr w:type="gram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., 1997)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7277"/>
      </w:tblGrid>
      <w:tr w:rsidR="00C82CB0" w:rsidRPr="00C82CB0" w14:paraId="272EA286" w14:textId="77777777" w:rsidTr="007B71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B7610" w14:textId="77777777" w:rsidR="007B71F0" w:rsidRPr="00C82CB0" w:rsidRDefault="007B71F0" w:rsidP="007B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CF7E4" w14:textId="77777777" w:rsidR="007B71F0" w:rsidRPr="00C82CB0" w:rsidRDefault="007B71F0" w:rsidP="007B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пол (женский)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 унаследованная патология гена коллагена II типа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 мутация гена коллагена II типа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        другие </w:t>
            </w:r>
            <w:proofErr w:type="gramStart"/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наследованные  заболевания</w:t>
            </w:r>
            <w:proofErr w:type="gramEnd"/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костей и суставов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 расовое/этническое происхождение</w:t>
            </w:r>
          </w:p>
        </w:tc>
      </w:tr>
      <w:tr w:rsidR="00C82CB0" w:rsidRPr="00C82CB0" w14:paraId="5940AF7F" w14:textId="77777777" w:rsidTr="007B71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DBE1B" w14:textId="77777777" w:rsidR="007B71F0" w:rsidRPr="00C82CB0" w:rsidRDefault="007B71F0" w:rsidP="007B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Негенетические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2D9F6" w14:textId="77777777" w:rsidR="007B71F0" w:rsidRPr="00C82CB0" w:rsidRDefault="007B71F0" w:rsidP="007B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пожилой возраст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 избыточная масса тела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 снижение уровня женских половых гормонов (например, период менопаузы)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 пороки развития костей и суставов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        операции на суставах в анамнезе (например, </w:t>
            </w:r>
            <w:proofErr w:type="spellStart"/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менискэктомия</w:t>
            </w:r>
            <w:proofErr w:type="spellEnd"/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82CB0" w:rsidRPr="00C82CB0" w14:paraId="1F0FF024" w14:textId="77777777" w:rsidTr="007B71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98204" w14:textId="77777777" w:rsidR="007B71F0" w:rsidRPr="00C82CB0" w:rsidRDefault="007B71F0" w:rsidP="007B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Экзогенные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D95FE" w14:textId="77777777" w:rsidR="007B71F0" w:rsidRPr="00C82CB0" w:rsidRDefault="007B71F0" w:rsidP="007B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профессиональная деятельность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 травма суставов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 занятия спортом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 курение</w:t>
            </w:r>
          </w:p>
        </w:tc>
      </w:tr>
    </w:tbl>
    <w:p w14:paraId="1C1C36AE" w14:textId="77777777" w:rsidR="00C82CB0" w:rsidRDefault="007B71F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Клиническая картина </w:t>
      </w:r>
      <w:proofErr w:type="spellStart"/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гоноартроза</w:t>
      </w:r>
      <w:proofErr w:type="spellEnd"/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10F18C39" w14:textId="668875CD" w:rsidR="009C30C2" w:rsidRPr="00C82CB0" w:rsidRDefault="007B71F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 в коленном суставе при движении, усиливается при движении по лестнице (сильнее при спуске, чем при подъёме), хруст в коленных суставах при движении,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синовит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легко выявляется при обследовании, ограничение движений, вначале разгибания, затем </w:t>
      </w:r>
      <w:proofErr w:type="gram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  сгибания</w:t>
      </w:r>
      <w:proofErr w:type="gram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деформация сустава, чаще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варусная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девиация.  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Рентгенологическая классификация [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Келлгрена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Лоуренса] (1957):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0   – изменения отсутствуют;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1   – сомнительные рентгенологические признаки;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   – минимальные изменения (неболь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шое сужение суставной щели, еди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ничные остеофиты);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3   – умеренные проявления (умеренное сужение суставной щели, множе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ственные остеофиты);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4   – выраженные изменения (суставная щель почти не прослеживается, выявляют грубые остеофиты).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Наличие реактивного </w:t>
      </w:r>
      <w:proofErr w:type="spellStart"/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синовита</w:t>
      </w:r>
      <w:proofErr w:type="spellEnd"/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·     с реактивным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синовитом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·     с часто рецидивирующем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синовитом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Степень нарушения функции</w:t>
      </w:r>
    </w:p>
    <w:p w14:paraId="4C4F4374" w14:textId="77777777" w:rsidR="00305649" w:rsidRDefault="00706A55" w:rsidP="00706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Диагностические критерии:</w:t>
      </w:r>
    </w:p>
    <w:p w14:paraId="0A063812" w14:textId="7CD9D863" w:rsidR="00706A55" w:rsidRPr="00C82CB0" w:rsidRDefault="00706A55" w:rsidP="0070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Для постановки диагноза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гонартроза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врач должен использовать критерии Американской коллегии ревматологов (по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Altmanet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al.,1991) таблица 3.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Таблица 3 Классификационные критерии </w:t>
      </w:r>
      <w:proofErr w:type="gramStart"/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остеоартроза  (</w:t>
      </w:r>
      <w:proofErr w:type="gramEnd"/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Альтман и др. 1991г)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5817"/>
      </w:tblGrid>
      <w:tr w:rsidR="00C82CB0" w:rsidRPr="00C82CB0" w14:paraId="40C28BA6" w14:textId="77777777" w:rsidTr="00706A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1B34D" w14:textId="77777777" w:rsidR="00706A55" w:rsidRPr="00C82CB0" w:rsidRDefault="00706A55" w:rsidP="0070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8639E" w14:textId="77777777" w:rsidR="00706A55" w:rsidRPr="00C82CB0" w:rsidRDefault="00706A55" w:rsidP="0070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критерии, лабораторные, диагностические критерии.</w:t>
            </w:r>
          </w:p>
        </w:tc>
      </w:tr>
      <w:tr w:rsidR="00C82CB0" w:rsidRPr="00C82CB0" w14:paraId="41817DF0" w14:textId="77777777" w:rsidTr="00706A5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444D6" w14:textId="77777777" w:rsidR="00706A55" w:rsidRPr="00C82CB0" w:rsidRDefault="00706A55" w:rsidP="0070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Коленные суставы</w:t>
            </w:r>
          </w:p>
        </w:tc>
      </w:tr>
      <w:tr w:rsidR="00C82CB0" w:rsidRPr="00C82CB0" w14:paraId="20CA8EC4" w14:textId="77777777" w:rsidTr="00706A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942DF" w14:textId="77777777" w:rsidR="00706A55" w:rsidRPr="00C82CB0" w:rsidRDefault="00706A55" w:rsidP="0070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1.боль и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2а.крепитация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2б.Утренняя скованность &lt;/=30мин.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2в. </w:t>
            </w:r>
            <w:proofErr w:type="gramStart"/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&gt;</w:t>
            </w:r>
            <w:proofErr w:type="gramEnd"/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/=38лет или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3а. крепитация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3б.Утренняя скованность &lt;/=30мин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3в. Костные разрастания или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4а. Отсутствие крепитации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4б. Костные разрастания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Чувствительность 89%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Специфичность 88%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737F6" w14:textId="77777777" w:rsidR="00706A55" w:rsidRPr="00C82CB0" w:rsidRDefault="00706A55" w:rsidP="0070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1.Боль и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2.Остеофиты или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3а.синовиальная жидкость, характерная для ОА (или </w:t>
            </w:r>
            <w:proofErr w:type="gramStart"/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&gt;</w:t>
            </w:r>
            <w:proofErr w:type="gramEnd"/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/=40лет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3б.Утренняя скованность &lt;/=30мин.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3в. крепитация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Чувствительность 94%</w:t>
            </w:r>
            <w:r w:rsidRPr="00C8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Специфичность 88%</w:t>
            </w:r>
          </w:p>
        </w:tc>
      </w:tr>
    </w:tbl>
    <w:p w14:paraId="6EE03C6B" w14:textId="77777777" w:rsidR="00C82CB0" w:rsidRDefault="00706A55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Жалобы на: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Ведущий клинический признак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гонартроза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 боль в области пораженного коленного сустава (суставов);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 усиление боли в положении стоя или при нагрузке;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 утренняя скованность длится менее 30 минут;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 присоединение воспалительного компонента приводит к удлинению утренней скованности.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Анамнез: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 среди наиболее распространенных причин являются: конституциональные (пол, возраст, ожирение, наследственность, репродуктивные особенности) также неблагоприятные местные факторы (травмы, профессиональные и бытовые факторы, осанка);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·     генетические факторы для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гонартроза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(индекс наследования 0,39-0,65). 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Необходимо собрать сведения о сопутствующей патологии, предшествующей терапии, наличие вредных привычек.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Физикальное</w:t>
      </w:r>
      <w:proofErr w:type="spellEnd"/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обследование: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 осмотре отмечается: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·     крепитация - характерный симптом для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гонартроза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проявляющийся хрустом, треском или скрипом в суставах при движении, возникающий вследствие нарушения конгруэнтности суставных поверхностей, ограничения подвижности в суставе или блокады «суставной мышью» (фрагментом суставного хряща, свободно лежащего в суставной полости).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 увеличение объема суставов чаще происходит за счет пролиферативных изменений (остеофиты), но может быть следствием отека околосуставных тканей. В отличие от воспалительных заболеваний суставов, внесуставные проявления при остеоартрозе не наблюдают.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·     при пальпации отмечается: болезненность сустава и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периартикулярных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тканей, наличие крепитации и хруста в суставах, наличие свободной жидкости в суставе, гипертрофированную синовиальную оболочку, состояние связочного аппарата и мышц. Определение функции сустава – изучение объёма и качества активных и пассивных движений в суставах.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Лабораторные исследования: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При первичном (идиопатическом)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гонартрозе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обнаружение патологических изменений стандартных лабораторных показателей в целом не характерно. Следует </w:t>
      </w:r>
      <w:proofErr w:type="gram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иметь ввиду</w:t>
      </w:r>
      <w:proofErr w:type="gram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у больных пожилого возраста (большинство больных) небольшое увеличение СОЭ и титров ревматоидного фактора может быть связана с возрастом и не является основанием для исключения диагноза остеоартроза. При исследовании синовиальной жидкости выявляют ее незначительное помутнение, повышение вязкости, количество лейкоцитов менее 2000 в 1 мм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нейтрофилов менее 25%.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Инструментальные  исследования</w:t>
      </w:r>
      <w:proofErr w:type="gramEnd"/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14:paraId="64696EEF" w14:textId="374861E4" w:rsidR="00C82CB0" w:rsidRDefault="00706A5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</w:t>
      </w:r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рентгенологическое исследование суставов: зависит от стадии поражения коленного сустава 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минимальные изменения (неболь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шое сужение суставной щели, еди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ничные остеофиты), умеренные проявления  показывает (умеренное сужение суставной щели, множе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ственные остеофиты); выраженные изменения (суставная щель почти не прослеживается, выявляют грубые остеофиты).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·     для подтверждения диагноза ОА, стадии и оценки прогрессирования дегенеративных изменений в  суставах, стадию заболевания определяют преимущественно по классификации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Kellgren-Lawrence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 </w:t>
      </w:r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МРТ: позволяет выявить 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ранние изменения хрящевой ткани, 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повреждения менисков и связок коленного сустава.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·     </w:t>
      </w:r>
      <w:r w:rsidRPr="00C82C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УЗИ суставов: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наличие выпота, бурсита, изменения хрящевой ткани, </w:t>
      </w:r>
      <w:proofErr w:type="spellStart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менископатия</w:t>
      </w:r>
      <w:proofErr w:type="spellEnd"/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остеофиты применяют для изучения характера поражения всех составляющих сустава, но не для оценки эффективности лечения.</w:t>
      </w: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</w:p>
    <w:p w14:paraId="0F3D21DA" w14:textId="77777777" w:rsidR="00C82CB0" w:rsidRDefault="00706A5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B5CDA"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Дифференциальный диагноз:</w:t>
      </w:r>
    </w:p>
    <w:p w14:paraId="5BC2522B" w14:textId="2F955726" w:rsidR="007B71F0" w:rsidRPr="00C82CB0" w:rsidRDefault="009B5C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Диагностика </w:t>
      </w:r>
      <w:proofErr w:type="spellStart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гонартроза</w:t>
      </w:r>
      <w:proofErr w:type="spellEnd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учётом диагностических критериев трудностей не вызывает. Тем не менее каждую клиническую ситуацию необходимо проанализировать с точки зрения возможности вторичного происхождения </w:t>
      </w:r>
      <w:proofErr w:type="spellStart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гонартроза</w:t>
      </w:r>
      <w:proofErr w:type="spellEnd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травматические поражения коленных суставов, особенно у лиц старшей и пожилой возрастной групп могут расцениваться как проявления </w:t>
      </w:r>
      <w:proofErr w:type="spellStart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гонартроза</w:t>
      </w:r>
      <w:proofErr w:type="spellEnd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привести к неэффективности консервативной терапии. У пациентов с жалобами на «механическую» боль в области коленных суставов (блокады сустава, боль при выполнении определенных движений) необходимо исключить травматическую этиологию повреждения – чаще всего повреждение менисков.</w:t>
      </w:r>
    </w:p>
    <w:p w14:paraId="471676B5" w14:textId="77777777" w:rsidR="00C82CB0" w:rsidRDefault="0006556E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Тактика лечения пациентов с </w:t>
      </w:r>
      <w:proofErr w:type="spellStart"/>
      <w:r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гонартрозом</w:t>
      </w:r>
      <w:proofErr w:type="spellEnd"/>
      <w:r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62D41BA" w14:textId="6F41B700" w:rsidR="009B5CDA" w:rsidRPr="00C82CB0" w:rsidRDefault="0006556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Согласно базовым принципам и методам, в соответствии существующими Международными рекомендациями и руководствами предлагается 4 этапа лечения.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При этом рекомендуется использовать несколько методов лечения, включая нефармакологическую и фармакологическую терапию.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1 этап – фоновое лечение,  которое включает парацетамол, хондропротекторы, тепловые процедуры, иглоукалывание, мануальная терапия.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 2 этап – расширение фармакологического лечения у пациентов с сохраняющейся симптоматикой (пероральные НПВС, внутрисуставное введение </w:t>
      </w:r>
      <w:proofErr w:type="spellStart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гиалуроната</w:t>
      </w:r>
      <w:proofErr w:type="spellEnd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, кортикостероидов, местные НПВС).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3 этап – включает слабые опиоиды короткого действия, к проводимой медикаментозной терапии.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4     этап – хирургическое лечение (артроскопия, корригирующая остеотомия, эндопротезирование).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Немедикаментозное лечение: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Не фармакологические методы: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 обучение (A)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·        упражнения  аэробные нагрузки (1В)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 снижение веса (В)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 защита сустава (B)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 Лечебная гимнастика при </w:t>
      </w:r>
      <w:proofErr w:type="spellStart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гонартрозе</w:t>
      </w:r>
      <w:proofErr w:type="spellEnd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способствуют снижению боли и сохранению функциональной активности суставов, является эффективным методом в снижении болевого синдрома и нетрудоспособности. Принципы лечебной гимнастики: частота – не менее трех тренировок в неделю на протяжении более 8 недель, интенсивность занятий умеренная, тип упражнений – аэробные с сопротивлением, продолжительность – минимум 30 минут. Кроме того, лечебная гимнастика необходима больным с точки зрения профилактики сердечно-сосудистых заболеваний.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 Диета. Повышенная масса тела относится к фактору риска прогрессирования остеоартроза, как в нагружаемых суставах (коленный, тазобедренный суставы), так и в </w:t>
      </w:r>
      <w:proofErr w:type="spellStart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ненагружаемых</w:t>
      </w:r>
      <w:proofErr w:type="spellEnd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(суставы кисти). Снижение массы тела на 5 кг приводит к существенному снижению риска развития остеоартроза.        Очень важно иметь специальную программу по снижению веса, разработанную с участием диетолога.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 Ортопедическая коррекция. Использование специальных </w:t>
      </w:r>
      <w:proofErr w:type="spellStart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ортезов</w:t>
      </w:r>
      <w:proofErr w:type="spellEnd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коленного сустава, ортопедических стелек может помочь разгрузить стрессовые отделы сустава и тем самым привести к снижению болевого синдрома и улучшению функции сустава.</w:t>
      </w:r>
    </w:p>
    <w:p w14:paraId="3073B311" w14:textId="77777777" w:rsidR="00C82CB0" w:rsidRDefault="00022A08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вмешательство, оказываемое в стационарных условиях:</w:t>
      </w:r>
      <w:r w:rsidRPr="00C82CB0">
        <w:rPr>
          <w:rFonts w:ascii="Times New Roman" w:hAnsi="Times New Roman" w:cs="Times New Roman"/>
          <w:sz w:val="28"/>
          <w:szCs w:val="28"/>
        </w:rPr>
        <w:br/>
      </w:r>
    </w:p>
    <w:p w14:paraId="5C8E8545" w14:textId="77777777" w:rsidR="00305649" w:rsidRDefault="00022A08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Виды операции: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 артроскопия коленных суставов.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к операции: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 малоинвазивное эндоскопическое вмешательство, позволяющее визуально оценить состояние хрящевого покрова сочленяющихся поверхностей, оценить состояние </w:t>
      </w:r>
      <w:proofErr w:type="spellStart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капсульно</w:t>
      </w:r>
      <w:proofErr w:type="spellEnd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-связочного аппарата коленного сустава. Особенно показано пациентам у которых остеоартроз сопровождается механическими изменениями в сустава: повреждения менисков, </w:t>
      </w:r>
      <w:proofErr w:type="spellStart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хондроматоз</w:t>
      </w:r>
      <w:proofErr w:type="spellEnd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наличие </w:t>
      </w:r>
      <w:proofErr w:type="spellStart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остефитов</w:t>
      </w:r>
      <w:proofErr w:type="spellEnd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, существенно препятствующих нормальной экскурсии сустава.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Противопоказания к операции: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онкологические заболевания; 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хронические соматические заболевания; 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печеночная недостаточность;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гормональная остеопатия;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ожирение 3 степени;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 наличие очага гнойной инфекции (тонзиллиты, кариозные зубы, </w:t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хронические гаймориты и отиты, гнойничковые заболевания кожи).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Виды операции: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 корригирующая околосуставная остеотомия.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к операции: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 показана пациентам с выраженным изменением оси нижней конечности. Восстановление оси способствует нормализации осевой нагрузки, при этом устраняются стрессовые нагрузки локальные участки хряща сустава.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Противопоказания к операции: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онкологические заболевания; 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хронические соматические заболевания; 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печеночная недостаточность; 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гормональная остеопатия;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ожирение 3 степени;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наличие очага гнойной инфекции (тонзиллиты, кариозные зубы, хронические гаймориты и отиты, гнойничковые заболевания кожи).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Виды операции: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 эндопротезирование коленных суставов.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к операции: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 показано у больных </w:t>
      </w:r>
      <w:proofErr w:type="spellStart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гонартрозом</w:t>
      </w:r>
      <w:proofErr w:type="spellEnd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выраженным болевым синдромом, не поддающимся  консервативному  лечению,  при  наличии  серьёзного  нарушения  функций  сустава (до  развития  значительных  деформаций,  нестабильности  сустава,  контрактур  и  мышечной атрофии). 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Противопоказания к операции: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 заболевания сердечно-сосудистой, </w:t>
      </w:r>
      <w:proofErr w:type="spellStart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бронхиально</w:t>
      </w:r>
      <w:proofErr w:type="spellEnd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-легочной системы в стадии декомпенсации; 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наличие очага гнойной инфекции (тонзиллиты, кариозные зубы, хронические гаймориты и отиты, гнойничковые заболевания кожи);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 психические или нейромышечные расстройства;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 активная или латентная инфекция в области сустава давностью менее 3-х месяцев; 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незрелость скелета;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 невозможность передвижения;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 </w:t>
      </w:r>
      <w:proofErr w:type="spellStart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полиаллергия</w:t>
      </w:r>
      <w:proofErr w:type="spellEnd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отсутствие костномозгового канала бедренной кости;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 острые заболевания сосудов нижних конечностей (тромбофлебит, тромбоэмболия).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Дальнейшее ведение: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 диспансерное наблюдение для выявления показаний для оперативного </w:t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вмешательства. Пациенты с декомпенсированной формой </w:t>
      </w:r>
      <w:proofErr w:type="spellStart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гонартроза</w:t>
      </w:r>
      <w:proofErr w:type="spellEnd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нуждаются в стационарного лечения с решением вопроса об оперативном лечении заболевания.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лечения:</w:t>
      </w:r>
    </w:p>
    <w:p w14:paraId="051E3B85" w14:textId="17DB8BCA" w:rsidR="00022A08" w:rsidRPr="00C82CB0" w:rsidRDefault="00022A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  отсутствие поражения новых суставов;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  уменьшение или исчезновение болевого синдрома, признаков воспаления;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  улучшение качества жизни.</w:t>
      </w:r>
    </w:p>
    <w:p w14:paraId="0EE2FDD5" w14:textId="77777777" w:rsidR="00FD4A65" w:rsidRDefault="007379A7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к госпитализации в стационар:</w:t>
      </w:r>
    </w:p>
    <w:p w14:paraId="2EF0D286" w14:textId="4C08F670" w:rsidR="007379A7" w:rsidRPr="00C82CB0" w:rsidRDefault="007379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экстренной госпитализации: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выраженный болевой синдром;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 стойкий рецидивирующий реактивный </w:t>
      </w:r>
      <w:proofErr w:type="spellStart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синовит</w:t>
      </w:r>
      <w:proofErr w:type="spellEnd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плановой госпитализации: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 уточнение диагноза и оценка прогноза;</w:t>
      </w:r>
      <w:r w:rsidRPr="00C82CB0">
        <w:rPr>
          <w:rFonts w:ascii="Times New Roman" w:hAnsi="Times New Roman" w:cs="Times New Roman"/>
          <w:sz w:val="28"/>
          <w:szCs w:val="28"/>
        </w:rPr>
        <w:br/>
      </w:r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 неэффективность </w:t>
      </w:r>
      <w:proofErr w:type="spellStart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>внегоспитальной</w:t>
      </w:r>
      <w:proofErr w:type="spellEnd"/>
      <w:r w:rsidRPr="00C8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терапии. </w:t>
      </w:r>
    </w:p>
    <w:p w14:paraId="45414346" w14:textId="734A9497" w:rsidR="00305649" w:rsidRPr="00305649" w:rsidRDefault="0030564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056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Список литературы: </w:t>
      </w:r>
    </w:p>
    <w:p w14:paraId="2EB0125F" w14:textId="77777777" w:rsidR="00305649" w:rsidRPr="00305649" w:rsidRDefault="0004398D" w:rsidP="003056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Диагностика и лечение в ревматологии. Проблемный подход, </w:t>
      </w:r>
      <w:proofErr w:type="spellStart"/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>Пайл</w:t>
      </w:r>
      <w:proofErr w:type="spellEnd"/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К., Кеннеди Л. Перевод с англ. / Под ред. Н.А. Шостак, 2011г. </w:t>
      </w:r>
    </w:p>
    <w:p w14:paraId="017C080E" w14:textId="77777777" w:rsidR="00305649" w:rsidRPr="00305649" w:rsidRDefault="0004398D" w:rsidP="003056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Ревматология: Клинические рекомендации / под ред. Акад. РАМН Е.Л. </w:t>
      </w:r>
      <w:proofErr w:type="spellStart"/>
      <w:proofErr w:type="gramStart"/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>Насо¬нова</w:t>
      </w:r>
      <w:proofErr w:type="spellEnd"/>
      <w:proofErr w:type="gramEnd"/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доп. - М.: ГЭОТАР-Медиа, 2010. – 752 с. </w:t>
      </w:r>
    </w:p>
    <w:p w14:paraId="5B78C01D" w14:textId="77777777" w:rsidR="00305649" w:rsidRPr="00305649" w:rsidRDefault="0004398D" w:rsidP="003056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Клинические рекомендации. Ревматология. 2-е изд., </w:t>
      </w:r>
      <w:proofErr w:type="spellStart"/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>С.Л.Насонова</w:t>
      </w:r>
      <w:proofErr w:type="spellEnd"/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2010г Ревматология: национальное руководство/ под ред. Е.Л. Насонова, В.А. Насоновой. - М.: ГЭОТАР-Медиа, 2010 г. - 711 с. </w:t>
      </w:r>
    </w:p>
    <w:p w14:paraId="65B36537" w14:textId="77777777" w:rsidR="00305649" w:rsidRPr="00305649" w:rsidRDefault="0004398D" w:rsidP="003056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Боли в суставах. Дифференциальная диагностика, Филоненко С.П., Якушин С.С., 2010г. </w:t>
      </w:r>
    </w:p>
    <w:p w14:paraId="6BEC257A" w14:textId="77777777" w:rsidR="00305649" w:rsidRPr="00305649" w:rsidRDefault="0004398D" w:rsidP="003056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Остеоартроз (серия "Библиотека врача-специалиста"), </w:t>
      </w:r>
      <w:proofErr w:type="spellStart"/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>Г.П.Котельников</w:t>
      </w:r>
      <w:proofErr w:type="spellEnd"/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>Ю.В.Ларцев</w:t>
      </w:r>
      <w:proofErr w:type="spellEnd"/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2009г. </w:t>
      </w:r>
    </w:p>
    <w:p w14:paraId="2F44685E" w14:textId="77777777" w:rsidR="00305649" w:rsidRPr="00305649" w:rsidRDefault="0004398D" w:rsidP="003056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Клинические рекомендации. Остеоартрит, </w:t>
      </w:r>
      <w:proofErr w:type="spellStart"/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>О.М.Лесняк</w:t>
      </w:r>
      <w:proofErr w:type="spellEnd"/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2006г. 40) Епифанов В.А. - Артроз суставов кисти и стопы, 2005г. </w:t>
      </w:r>
    </w:p>
    <w:p w14:paraId="3ECACCFD" w14:textId="6E64A70D" w:rsidR="0004398D" w:rsidRPr="00305649" w:rsidRDefault="0004398D" w:rsidP="003056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5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Лесняк О.М. - Диагностика, лечение остеоартроза и реабилитация больных в условиях общей врачебной практики, 2005г. 42) Белоусов Ю.Б. - Рациональная фармакотерапия ревматических заболеваний, 2005г. </w:t>
      </w:r>
    </w:p>
    <w:sectPr w:rsidR="0004398D" w:rsidRPr="0030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C2189"/>
    <w:multiLevelType w:val="hybridMultilevel"/>
    <w:tmpl w:val="47841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A6EA7"/>
    <w:multiLevelType w:val="hybridMultilevel"/>
    <w:tmpl w:val="EE62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C2"/>
    <w:rsid w:val="00022A08"/>
    <w:rsid w:val="0004398D"/>
    <w:rsid w:val="0006556E"/>
    <w:rsid w:val="00305649"/>
    <w:rsid w:val="00453CA3"/>
    <w:rsid w:val="00706A55"/>
    <w:rsid w:val="007379A7"/>
    <w:rsid w:val="007B71F0"/>
    <w:rsid w:val="009B5CDA"/>
    <w:rsid w:val="009C30C2"/>
    <w:rsid w:val="00C82CB0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D5A2"/>
  <w15:chartTrackingRefBased/>
  <w15:docId w15:val="{58B0A6A1-3295-4CBF-8315-953BF4E3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B71F0"/>
    <w:rPr>
      <w:b/>
      <w:bCs/>
    </w:rPr>
  </w:style>
  <w:style w:type="character" w:styleId="a4">
    <w:name w:val="Hyperlink"/>
    <w:basedOn w:val="a0"/>
    <w:uiPriority w:val="99"/>
    <w:semiHidden/>
    <w:unhideWhenUsed/>
    <w:rsid w:val="00C82CB0"/>
    <w:rPr>
      <w:color w:val="0000FF"/>
      <w:u w:val="single"/>
    </w:rPr>
  </w:style>
  <w:style w:type="paragraph" w:styleId="a5">
    <w:name w:val="No Spacing"/>
    <w:uiPriority w:val="1"/>
    <w:qFormat/>
    <w:rsid w:val="00C82CB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82CB0"/>
    <w:pPr>
      <w:spacing w:line="254" w:lineRule="auto"/>
      <w:ind w:left="720"/>
      <w:contextualSpacing/>
    </w:pPr>
  </w:style>
  <w:style w:type="character" w:styleId="a7">
    <w:name w:val="Subtle Emphasis"/>
    <w:basedOn w:val="a0"/>
    <w:uiPriority w:val="19"/>
    <w:qFormat/>
    <w:rsid w:val="00C82C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ept&amp;id=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2244</Words>
  <Characters>12794</Characters>
  <Application>Microsoft Office Word</Application>
  <DocSecurity>0</DocSecurity>
  <Lines>106</Lines>
  <Paragraphs>30</Paragraphs>
  <ScaleCrop>false</ScaleCrop>
  <Company/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Анастасия Шигаева</cp:lastModifiedBy>
  <cp:revision>12</cp:revision>
  <dcterms:created xsi:type="dcterms:W3CDTF">2019-09-27T06:38:00Z</dcterms:created>
  <dcterms:modified xsi:type="dcterms:W3CDTF">2019-09-27T09:06:00Z</dcterms:modified>
</cp:coreProperties>
</file>