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9E19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  <w:r>
        <w:rPr>
          <w:sz w:val="28"/>
          <w:szCs w:val="28"/>
        </w:rPr>
        <w:t xml:space="preserve"> </w:t>
      </w:r>
      <w:r w:rsidRPr="00CA4D76">
        <w:rPr>
          <w:sz w:val="28"/>
          <w:szCs w:val="28"/>
        </w:rPr>
        <w:t>имени профессора В.Ф. 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>»</w:t>
      </w:r>
    </w:p>
    <w:p w14:paraId="260005AB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Министерства здравоохранения Российской Федерации</w:t>
      </w:r>
    </w:p>
    <w:p w14:paraId="69E629C4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ФГБОУ ВО КрасГМУ им. проф. В.Ф. 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 xml:space="preserve"> Минздрава России</w:t>
      </w:r>
    </w:p>
    <w:p w14:paraId="3DDD2A55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8ADC875" w14:textId="77777777" w:rsidR="00E03039" w:rsidRDefault="00E03039" w:rsidP="000469C9">
      <w:pPr>
        <w:jc w:val="center"/>
        <w:rPr>
          <w:sz w:val="28"/>
          <w:szCs w:val="28"/>
        </w:rPr>
      </w:pPr>
    </w:p>
    <w:p w14:paraId="6DF01894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EEBCB12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6DA3B3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Кафедра </w:t>
      </w:r>
      <w:r w:rsidRPr="00BF3055">
        <w:rPr>
          <w:sz w:val="28"/>
          <w:szCs w:val="28"/>
        </w:rPr>
        <w:t>фармации с курсом ПО</w:t>
      </w:r>
    </w:p>
    <w:p w14:paraId="1D1DB5D9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17D600A7" w14:textId="77777777" w:rsidR="00E03039" w:rsidRDefault="00E03039" w:rsidP="000469C9">
      <w:pPr>
        <w:jc w:val="center"/>
        <w:rPr>
          <w:sz w:val="28"/>
          <w:szCs w:val="28"/>
        </w:rPr>
      </w:pPr>
    </w:p>
    <w:p w14:paraId="07E3D0B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49CA2830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B74860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7046135A" w14:textId="0DA67714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Реферат</w:t>
      </w:r>
    </w:p>
    <w:p w14:paraId="4B61640C" w14:textId="77777777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на тему</w:t>
      </w:r>
    </w:p>
    <w:p w14:paraId="4669DEDC" w14:textId="77777777" w:rsidR="0086661D" w:rsidRPr="0086661D" w:rsidRDefault="0086661D" w:rsidP="0086661D">
      <w:pPr>
        <w:jc w:val="center"/>
        <w:rPr>
          <w:sz w:val="28"/>
          <w:szCs w:val="28"/>
        </w:rPr>
      </w:pPr>
      <w:r w:rsidRPr="0086661D">
        <w:rPr>
          <w:sz w:val="28"/>
          <w:szCs w:val="28"/>
        </w:rPr>
        <w:t>Стандартные операционные процедуры методик фармацевтического анализа.</w:t>
      </w:r>
    </w:p>
    <w:p w14:paraId="0FA3B645" w14:textId="669771FD" w:rsidR="00E03039" w:rsidRDefault="004A7211" w:rsidP="0086661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14:paraId="6222BE62" w14:textId="77777777" w:rsidR="004A7211" w:rsidRDefault="004A7211" w:rsidP="00B661A1">
      <w:pPr>
        <w:jc w:val="both"/>
        <w:rPr>
          <w:sz w:val="28"/>
          <w:szCs w:val="28"/>
        </w:rPr>
      </w:pPr>
    </w:p>
    <w:p w14:paraId="2B18BC81" w14:textId="77777777" w:rsidR="004A7211" w:rsidRPr="00CA4D76" w:rsidRDefault="004A7211" w:rsidP="00B661A1">
      <w:pPr>
        <w:jc w:val="both"/>
        <w:rPr>
          <w:sz w:val="28"/>
          <w:szCs w:val="28"/>
        </w:rPr>
      </w:pPr>
    </w:p>
    <w:p w14:paraId="16942CAB" w14:textId="77777777" w:rsidR="00E03039" w:rsidRPr="00CA4D76" w:rsidRDefault="00E03039" w:rsidP="000469C9">
      <w:pPr>
        <w:ind w:left="4962" w:right="560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>Выполнил:</w:t>
      </w:r>
    </w:p>
    <w:p w14:paraId="4D82470E" w14:textId="77777777" w:rsidR="00E03039" w:rsidRPr="00CA4D76" w:rsidRDefault="00E03039" w:rsidP="000469C9">
      <w:pPr>
        <w:ind w:left="4962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 xml:space="preserve">ординатор </w:t>
      </w:r>
      <w:r>
        <w:rPr>
          <w:bCs/>
          <w:sz w:val="28"/>
          <w:szCs w:val="28"/>
        </w:rPr>
        <w:t>к</w:t>
      </w:r>
      <w:r w:rsidRPr="00BF3055">
        <w:rPr>
          <w:bCs/>
          <w:sz w:val="28"/>
          <w:szCs w:val="28"/>
        </w:rPr>
        <w:t>афедр</w:t>
      </w:r>
      <w:r>
        <w:rPr>
          <w:bCs/>
          <w:sz w:val="28"/>
          <w:szCs w:val="28"/>
        </w:rPr>
        <w:t>ы</w:t>
      </w:r>
      <w:r w:rsidRPr="00BF3055">
        <w:rPr>
          <w:bCs/>
          <w:sz w:val="28"/>
          <w:szCs w:val="28"/>
        </w:rPr>
        <w:t xml:space="preserve"> фармации с курсом ПО</w:t>
      </w:r>
    </w:p>
    <w:p w14:paraId="19ECC100" w14:textId="77777777" w:rsidR="00E03039" w:rsidRDefault="00E03039" w:rsidP="000469C9">
      <w:pPr>
        <w:ind w:left="4962"/>
        <w:rPr>
          <w:sz w:val="28"/>
          <w:szCs w:val="28"/>
        </w:rPr>
      </w:pPr>
      <w:r w:rsidRPr="00CA4D76">
        <w:rPr>
          <w:bCs/>
          <w:sz w:val="28"/>
          <w:szCs w:val="28"/>
        </w:rPr>
        <w:t xml:space="preserve">специальности </w:t>
      </w:r>
      <w:r w:rsidRPr="00BF3055">
        <w:rPr>
          <w:sz w:val="28"/>
          <w:szCs w:val="28"/>
        </w:rPr>
        <w:t>33.08.03 Фармацевтическая химия и фармакогнозия</w:t>
      </w:r>
    </w:p>
    <w:p w14:paraId="2AB4D978" w14:textId="77777777" w:rsidR="00E03039" w:rsidRPr="0097344F" w:rsidRDefault="00E03039" w:rsidP="000469C9">
      <w:pPr>
        <w:ind w:left="4962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Кунц Роман Константинович</w:t>
      </w:r>
    </w:p>
    <w:p w14:paraId="77079A78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79BDF18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06E83665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157B6C87" w14:textId="77777777" w:rsidR="00E03039" w:rsidRDefault="00E03039" w:rsidP="00B661A1">
      <w:pPr>
        <w:jc w:val="both"/>
        <w:rPr>
          <w:sz w:val="28"/>
          <w:szCs w:val="28"/>
        </w:rPr>
      </w:pPr>
    </w:p>
    <w:p w14:paraId="6B8D50C9" w14:textId="77777777" w:rsidR="00E03039" w:rsidRDefault="00E03039" w:rsidP="00B661A1">
      <w:pPr>
        <w:jc w:val="both"/>
        <w:rPr>
          <w:sz w:val="28"/>
          <w:szCs w:val="28"/>
        </w:rPr>
      </w:pPr>
    </w:p>
    <w:p w14:paraId="276123C2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54A5A351" w14:textId="15C963EB" w:rsidR="00E03039" w:rsidRDefault="00E03039" w:rsidP="00B661A1">
      <w:pPr>
        <w:jc w:val="both"/>
        <w:rPr>
          <w:sz w:val="28"/>
          <w:szCs w:val="28"/>
        </w:rPr>
      </w:pPr>
    </w:p>
    <w:p w14:paraId="6A0AF1BB" w14:textId="40E87816" w:rsidR="0027126F" w:rsidRDefault="0027126F" w:rsidP="00B661A1">
      <w:pPr>
        <w:jc w:val="both"/>
        <w:rPr>
          <w:sz w:val="28"/>
          <w:szCs w:val="28"/>
        </w:rPr>
      </w:pPr>
    </w:p>
    <w:p w14:paraId="3153C613" w14:textId="75E297D2" w:rsidR="0027126F" w:rsidRDefault="0027126F" w:rsidP="00B661A1">
      <w:pPr>
        <w:jc w:val="both"/>
        <w:rPr>
          <w:sz w:val="28"/>
          <w:szCs w:val="28"/>
        </w:rPr>
      </w:pPr>
    </w:p>
    <w:p w14:paraId="0D52670E" w14:textId="77777777" w:rsidR="0027126F" w:rsidRPr="00CA4D76" w:rsidRDefault="0027126F" w:rsidP="00B661A1">
      <w:pPr>
        <w:jc w:val="both"/>
        <w:rPr>
          <w:sz w:val="28"/>
          <w:szCs w:val="28"/>
        </w:rPr>
      </w:pPr>
    </w:p>
    <w:p w14:paraId="71772C18" w14:textId="0B35F179" w:rsidR="00E03039" w:rsidRDefault="00E03039" w:rsidP="00B661A1">
      <w:pPr>
        <w:jc w:val="both"/>
        <w:rPr>
          <w:sz w:val="28"/>
          <w:szCs w:val="28"/>
        </w:rPr>
      </w:pPr>
    </w:p>
    <w:p w14:paraId="5684778F" w14:textId="77777777" w:rsidR="00212E09" w:rsidRPr="00CA4D76" w:rsidRDefault="00212E09" w:rsidP="00B661A1">
      <w:pPr>
        <w:jc w:val="both"/>
        <w:rPr>
          <w:sz w:val="28"/>
          <w:szCs w:val="28"/>
        </w:rPr>
      </w:pPr>
    </w:p>
    <w:p w14:paraId="03E3947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4CC3B44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Красноярск</w:t>
      </w:r>
    </w:p>
    <w:p w14:paraId="5EF80CE2" w14:textId="254EA706" w:rsidR="00E03039" w:rsidRPr="004A7211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A7211">
        <w:rPr>
          <w:sz w:val="28"/>
          <w:szCs w:val="28"/>
        </w:rPr>
        <w:t>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4817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F26493" w14:textId="5B939794" w:rsidR="00E03039" w:rsidRDefault="00E03039" w:rsidP="00B661A1">
          <w:pPr>
            <w:pStyle w:val="a3"/>
            <w:jc w:val="both"/>
          </w:pPr>
          <w:r>
            <w:t>Оглавление</w:t>
          </w:r>
        </w:p>
        <w:p w14:paraId="169E4527" w14:textId="77777777" w:rsidR="0075591E" w:rsidRDefault="00610F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5383640" w:history="1">
            <w:r w:rsidR="0075591E" w:rsidRPr="00B36BEA">
              <w:rPr>
                <w:rStyle w:val="a4"/>
                <w:rFonts w:eastAsiaTheme="majorEastAsia"/>
                <w:b/>
                <w:bCs/>
                <w:noProof/>
              </w:rPr>
              <w:t>1.</w:t>
            </w:r>
            <w:r w:rsidR="007559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591E" w:rsidRPr="00B36BEA">
              <w:rPr>
                <w:rStyle w:val="a4"/>
                <w:rFonts w:eastAsiaTheme="majorEastAsia"/>
                <w:b/>
                <w:bCs/>
                <w:noProof/>
              </w:rPr>
              <w:t>Введение</w:t>
            </w:r>
            <w:r w:rsidR="0075591E">
              <w:rPr>
                <w:noProof/>
                <w:webHidden/>
              </w:rPr>
              <w:tab/>
            </w:r>
            <w:r w:rsidR="0075591E">
              <w:rPr>
                <w:noProof/>
                <w:webHidden/>
              </w:rPr>
              <w:fldChar w:fldCharType="begin"/>
            </w:r>
            <w:r w:rsidR="0075591E">
              <w:rPr>
                <w:noProof/>
                <w:webHidden/>
              </w:rPr>
              <w:instrText xml:space="preserve"> PAGEREF _Toc135383640 \h </w:instrText>
            </w:r>
            <w:r w:rsidR="0075591E">
              <w:rPr>
                <w:noProof/>
                <w:webHidden/>
              </w:rPr>
            </w:r>
            <w:r w:rsidR="0075591E">
              <w:rPr>
                <w:noProof/>
                <w:webHidden/>
              </w:rPr>
              <w:fldChar w:fldCharType="separate"/>
            </w:r>
            <w:r w:rsidR="0075591E">
              <w:rPr>
                <w:noProof/>
                <w:webHidden/>
              </w:rPr>
              <w:t>2</w:t>
            </w:r>
            <w:r w:rsidR="0075591E">
              <w:rPr>
                <w:noProof/>
                <w:webHidden/>
              </w:rPr>
              <w:fldChar w:fldCharType="end"/>
            </w:r>
          </w:hyperlink>
        </w:p>
        <w:p w14:paraId="50CFAF3A" w14:textId="77777777" w:rsidR="0075591E" w:rsidRDefault="0075591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383641" w:history="1"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Порядок</w:t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 xml:space="preserve"> </w:t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разработки стандартных операционных процедур в аптечной организации[6]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_Toc135383641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2178A" w14:textId="77777777" w:rsidR="0075591E" w:rsidRDefault="0075591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383642" w:history="1"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Примеры стандартных операционных процедур методик фармацевтического анализа[9]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_Toc135383642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DF04E" w14:textId="77777777" w:rsidR="0075591E" w:rsidRDefault="0075591E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383643" w:history="1"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Взвешивание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_Toc135383643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8E51C" w14:textId="77777777" w:rsidR="0075591E" w:rsidRDefault="0075591E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383644" w:history="1"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Взвешивание на аптечных весах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_Toc135383644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A37EA" w14:textId="77777777" w:rsidR="0075591E" w:rsidRDefault="0075591E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383645" w:history="1"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Растворимость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_Toc135383645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FF68F" w14:textId="77777777" w:rsidR="0075591E" w:rsidRDefault="0075591E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383646" w:history="1"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3.2.1.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Определение растворимости ЛВ при обозначении  условными терминами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_Toc135383646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28AD0" w14:textId="77777777" w:rsidR="0075591E" w:rsidRDefault="0075591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383647" w:history="1"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_Toc135383647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4369E" w14:textId="77777777" w:rsidR="0075591E" w:rsidRDefault="0075591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383648" w:history="1"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36BEA">
              <w:rPr>
                <w:rStyle w:val="a4"/>
                <w:rFonts w:eastAsiaTheme="majorEastAsia"/>
                <w:b/>
                <w:bCs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_Toc135383648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D2FF8" w14:textId="277C94CE" w:rsidR="00212E09" w:rsidRPr="00FB39CF" w:rsidRDefault="00610FE3" w:rsidP="00B661A1">
          <w:pPr>
            <w:jc w:val="both"/>
            <w:rPr>
              <w:sz w:val="28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F75FEBC" w14:textId="77777777" w:rsidR="00121599" w:rsidRDefault="00121599" w:rsidP="00B661A1">
      <w:pPr>
        <w:spacing w:after="160" w:line="259" w:lineRule="auto"/>
        <w:jc w:val="both"/>
        <w:rPr>
          <w:lang w:val="en-US"/>
        </w:rPr>
      </w:pPr>
    </w:p>
    <w:p w14:paraId="09B0828A" w14:textId="77777777" w:rsidR="00BA5333" w:rsidRPr="00121599" w:rsidRDefault="00BA5333" w:rsidP="00B661A1">
      <w:pPr>
        <w:spacing w:after="160" w:line="259" w:lineRule="auto"/>
        <w:jc w:val="both"/>
        <w:rPr>
          <w:lang w:val="en-US"/>
        </w:rPr>
      </w:pPr>
    </w:p>
    <w:p w14:paraId="5B1D619F" w14:textId="77777777" w:rsidR="007B2F6C" w:rsidRPr="007B2F6C" w:rsidRDefault="007B2F6C" w:rsidP="00B661A1">
      <w:pPr>
        <w:spacing w:after="160" w:line="259" w:lineRule="auto"/>
        <w:jc w:val="both"/>
        <w:rPr>
          <w:lang w:val="en-US"/>
        </w:rPr>
      </w:pPr>
    </w:p>
    <w:p w14:paraId="27C8FFEB" w14:textId="77777777" w:rsidR="00627815" w:rsidRPr="007B2F6C" w:rsidRDefault="00627815" w:rsidP="00B661A1">
      <w:pPr>
        <w:spacing w:after="160" w:line="259" w:lineRule="auto"/>
        <w:jc w:val="both"/>
        <w:rPr>
          <w:lang w:val="en-US"/>
        </w:rPr>
      </w:pPr>
    </w:p>
    <w:p w14:paraId="242C330A" w14:textId="77777777" w:rsidR="00ED4277" w:rsidRPr="006560E5" w:rsidRDefault="00ED4277" w:rsidP="00B661A1">
      <w:pPr>
        <w:spacing w:after="160" w:line="259" w:lineRule="auto"/>
        <w:jc w:val="both"/>
      </w:pPr>
    </w:p>
    <w:p w14:paraId="04CC8C57" w14:textId="77777777" w:rsidR="00A6116C" w:rsidRPr="006560E5" w:rsidRDefault="00A6116C" w:rsidP="00B661A1">
      <w:pPr>
        <w:spacing w:after="160" w:line="259" w:lineRule="auto"/>
        <w:jc w:val="both"/>
      </w:pPr>
    </w:p>
    <w:p w14:paraId="66FD19CC" w14:textId="77777777" w:rsidR="000A1D90" w:rsidRPr="006560E5" w:rsidRDefault="000A1D90" w:rsidP="00B661A1">
      <w:pPr>
        <w:spacing w:after="160" w:line="259" w:lineRule="auto"/>
        <w:jc w:val="both"/>
      </w:pPr>
    </w:p>
    <w:p w14:paraId="1D71389A" w14:textId="77777777" w:rsidR="009E7A65" w:rsidRPr="006560E5" w:rsidRDefault="009E7A65" w:rsidP="00B661A1">
      <w:pPr>
        <w:spacing w:after="160" w:line="259" w:lineRule="auto"/>
        <w:jc w:val="both"/>
      </w:pPr>
    </w:p>
    <w:p w14:paraId="247E5471" w14:textId="77777777" w:rsidR="00045592" w:rsidRPr="006560E5" w:rsidRDefault="00045592" w:rsidP="00B661A1">
      <w:pPr>
        <w:spacing w:after="160" w:line="259" w:lineRule="auto"/>
        <w:jc w:val="both"/>
      </w:pPr>
    </w:p>
    <w:p w14:paraId="0CE07035" w14:textId="77777777" w:rsidR="00B661A1" w:rsidRPr="006560E5" w:rsidRDefault="00B661A1" w:rsidP="00B661A1">
      <w:pPr>
        <w:spacing w:after="160" w:line="259" w:lineRule="auto"/>
        <w:jc w:val="both"/>
      </w:pPr>
    </w:p>
    <w:p w14:paraId="086139C3" w14:textId="3CFF5B54" w:rsidR="0027126F" w:rsidRPr="006560E5" w:rsidRDefault="0027126F" w:rsidP="00B661A1">
      <w:pPr>
        <w:spacing w:after="160" w:line="259" w:lineRule="auto"/>
        <w:jc w:val="both"/>
      </w:pPr>
      <w:r w:rsidRPr="006560E5">
        <w:br w:type="page"/>
      </w:r>
    </w:p>
    <w:p w14:paraId="4C9EA26D" w14:textId="7CCA108D" w:rsidR="0027126F" w:rsidRDefault="0027126F" w:rsidP="00B661A1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86330091"/>
      <w:bookmarkStart w:id="1" w:name="_Toc88933962"/>
      <w:bookmarkStart w:id="2" w:name="_Toc135383640"/>
      <w:r w:rsidRPr="00C90E51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0"/>
      <w:bookmarkEnd w:id="1"/>
      <w:bookmarkEnd w:id="2"/>
    </w:p>
    <w:p w14:paraId="50B0C1A5" w14:textId="77777777" w:rsidR="00F12D55" w:rsidRDefault="00F12D55" w:rsidP="00F12D55">
      <w:pPr>
        <w:spacing w:line="360" w:lineRule="auto"/>
        <w:ind w:firstLine="709"/>
        <w:jc w:val="both"/>
      </w:pPr>
      <w:r w:rsidRPr="00F12D55">
        <w:rPr>
          <w:sz w:val="28"/>
          <w:szCs w:val="28"/>
        </w:rPr>
        <w:t>Категория «качество» в сфере обращения лекарственных средств характеризует не только продукты, но и процессы, сопровождающие любой этап жизненного цикла лекарственного препарата (Л</w:t>
      </w:r>
      <w:r>
        <w:rPr>
          <w:sz w:val="28"/>
          <w:szCs w:val="28"/>
        </w:rPr>
        <w:t>П</w:t>
      </w:r>
      <w:r w:rsidRPr="00F12D55">
        <w:rPr>
          <w:sz w:val="28"/>
          <w:szCs w:val="28"/>
        </w:rPr>
        <w:t>). Система обеспечения качества фармацевтического предприятия предназначена для управления различными процессами, которые прямо или косвенно влияют на качество производимых Л</w:t>
      </w:r>
      <w:r>
        <w:rPr>
          <w:sz w:val="28"/>
          <w:szCs w:val="28"/>
        </w:rPr>
        <w:t>П</w:t>
      </w:r>
      <w:r w:rsidRPr="00F12D55">
        <w:rPr>
          <w:sz w:val="28"/>
          <w:szCs w:val="28"/>
        </w:rPr>
        <w:t>. При этом непосредственно управление процессами осуществляется с помощью стандартных операционных процедур (СОП). Федеральный закон «Об обращении лекарственных средств» предписывает обязательный переход российских предприятий на стандарт GMP (</w:t>
      </w:r>
      <w:proofErr w:type="spellStart"/>
      <w:r w:rsidRPr="00F12D55">
        <w:rPr>
          <w:sz w:val="28"/>
          <w:szCs w:val="28"/>
        </w:rPr>
        <w:t>Good</w:t>
      </w:r>
      <w:proofErr w:type="spellEnd"/>
      <w:r w:rsidRPr="00F12D55">
        <w:rPr>
          <w:sz w:val="28"/>
          <w:szCs w:val="28"/>
        </w:rPr>
        <w:t xml:space="preserve"> </w:t>
      </w:r>
      <w:proofErr w:type="spellStart"/>
      <w:r w:rsidRPr="00F12D55">
        <w:rPr>
          <w:sz w:val="28"/>
          <w:szCs w:val="28"/>
        </w:rPr>
        <w:t>Manufacturing</w:t>
      </w:r>
      <w:proofErr w:type="spellEnd"/>
      <w:r w:rsidRPr="00F12D55">
        <w:rPr>
          <w:sz w:val="28"/>
          <w:szCs w:val="28"/>
        </w:rPr>
        <w:t xml:space="preserve"> </w:t>
      </w:r>
      <w:proofErr w:type="spellStart"/>
      <w:r w:rsidRPr="00F12D55">
        <w:rPr>
          <w:sz w:val="28"/>
          <w:szCs w:val="28"/>
        </w:rPr>
        <w:t>Practice</w:t>
      </w:r>
      <w:proofErr w:type="spellEnd"/>
      <w:r w:rsidRPr="00F12D55">
        <w:rPr>
          <w:sz w:val="28"/>
          <w:szCs w:val="28"/>
        </w:rPr>
        <w:t>) к 1 января 2014 г. Следовательно, фармацевтические предприятия, желающие остаться на российском фармацевтическом рынке, должны соответствовать ГОСТ Р 52249-2009, единственному легитимному документу, содержащему правила GMP. К настоящему времени из всех действующих на территории Российской Федерации фармацевтических предприятий, по оценке специалистов, не более 10% предприятий, которые в большой степени соответствуют правилам GMP.</w:t>
      </w:r>
      <w:r w:rsidRPr="00F12D55">
        <w:t xml:space="preserve"> </w:t>
      </w:r>
    </w:p>
    <w:p w14:paraId="2A5D7F45" w14:textId="7D04C1E3" w:rsidR="00F12D55" w:rsidRPr="00F12D55" w:rsidRDefault="00F12D55" w:rsidP="00F12D55">
      <w:pPr>
        <w:spacing w:line="360" w:lineRule="auto"/>
        <w:ind w:firstLine="709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Стандартная операционная процедура, это документ, предназначенный для конкретного исполнителя и содержащий описание последовательности действий, необходимых для выполнения конкретной задачи. Обычно СОП составляется в тех случаях, когда рутинная (повторяющаяся) процедура должна закончиться определенным результатом, важным дл</w:t>
      </w:r>
      <w:r>
        <w:rPr>
          <w:sz w:val="28"/>
          <w:szCs w:val="28"/>
        </w:rPr>
        <w:t>я функционирования организации.</w:t>
      </w:r>
    </w:p>
    <w:p w14:paraId="0B0D8D38" w14:textId="7A9BB817" w:rsidR="00F12D55" w:rsidRPr="00F12D55" w:rsidRDefault="00F12D55" w:rsidP="00F12D55">
      <w:pPr>
        <w:spacing w:line="360" w:lineRule="auto"/>
        <w:ind w:firstLine="709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Преимуществами СОП являются минимизация вероятности недопонимания исполнителями своих обязанностей, обеспечение сопоставимости и соб</w:t>
      </w:r>
      <w:r>
        <w:rPr>
          <w:sz w:val="28"/>
          <w:szCs w:val="28"/>
        </w:rPr>
        <w:t>людения нормативных требований.</w:t>
      </w:r>
    </w:p>
    <w:p w14:paraId="735E6C95" w14:textId="28B31E3C" w:rsidR="00F12D55" w:rsidRPr="00F12D55" w:rsidRDefault="00F12D55" w:rsidP="00F12D55">
      <w:pPr>
        <w:spacing w:line="360" w:lineRule="auto"/>
        <w:ind w:firstLine="709"/>
        <w:jc w:val="both"/>
        <w:rPr>
          <w:sz w:val="28"/>
          <w:szCs w:val="28"/>
        </w:rPr>
      </w:pPr>
      <w:r w:rsidRPr="00F12D55">
        <w:rPr>
          <w:sz w:val="28"/>
          <w:szCs w:val="28"/>
        </w:rPr>
        <w:t xml:space="preserve">В зарубежной литературе приводятся отдельные примеры разработки и использования </w:t>
      </w:r>
      <w:proofErr w:type="spellStart"/>
      <w:r w:rsidRPr="00F12D55">
        <w:rPr>
          <w:sz w:val="28"/>
          <w:szCs w:val="28"/>
        </w:rPr>
        <w:t>СОПов</w:t>
      </w:r>
      <w:proofErr w:type="spellEnd"/>
      <w:r w:rsidRPr="00F12D55">
        <w:rPr>
          <w:sz w:val="28"/>
          <w:szCs w:val="28"/>
        </w:rPr>
        <w:t xml:space="preserve"> в клинике. Показано, что их использование позволяет снизить кол</w:t>
      </w:r>
      <w:r>
        <w:rPr>
          <w:sz w:val="28"/>
          <w:szCs w:val="28"/>
        </w:rPr>
        <w:t>ичество врачебных ошибок</w:t>
      </w:r>
      <w:r w:rsidRPr="00F12D55">
        <w:rPr>
          <w:sz w:val="28"/>
          <w:szCs w:val="28"/>
        </w:rPr>
        <w:t xml:space="preserve"> при постановке диагноза, выявить </w:t>
      </w:r>
      <w:r w:rsidRPr="00F12D55">
        <w:rPr>
          <w:sz w:val="28"/>
          <w:szCs w:val="28"/>
        </w:rPr>
        <w:lastRenderedPageBreak/>
        <w:t>факторы риска у пациентов, помогать в выявлении пациентов,</w:t>
      </w:r>
      <w:r>
        <w:rPr>
          <w:sz w:val="28"/>
          <w:szCs w:val="28"/>
        </w:rPr>
        <w:t xml:space="preserve"> склонных к суицидам и т.д</w:t>
      </w:r>
      <w:r w:rsidRPr="00F12D55">
        <w:rPr>
          <w:sz w:val="28"/>
          <w:szCs w:val="28"/>
        </w:rPr>
        <w:t>. Однако, как отмеч</w:t>
      </w:r>
      <w:r>
        <w:rPr>
          <w:sz w:val="28"/>
          <w:szCs w:val="28"/>
        </w:rPr>
        <w:t>ается, широкого распространения</w:t>
      </w:r>
    </w:p>
    <w:p w14:paraId="7CC0C6C7" w14:textId="4AAA32A1" w:rsidR="00F12D55" w:rsidRPr="00F12D55" w:rsidRDefault="00F12D55" w:rsidP="00F12D55">
      <w:pPr>
        <w:spacing w:line="360" w:lineRule="auto"/>
        <w:ind w:firstLine="709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В настоящее время определены методические подходы к формированию и оценке показателей в системе внутреннего контроля качества и безопасности мед</w:t>
      </w:r>
      <w:r>
        <w:rPr>
          <w:sz w:val="28"/>
          <w:szCs w:val="28"/>
        </w:rPr>
        <w:t>ицинской деятельности.</w:t>
      </w:r>
    </w:p>
    <w:p w14:paraId="5C7A0AB1" w14:textId="7436A4E7" w:rsidR="00F12D55" w:rsidRPr="00F12D55" w:rsidRDefault="00F12D55" w:rsidP="00F12D55">
      <w:pPr>
        <w:spacing w:line="360" w:lineRule="auto"/>
        <w:ind w:firstLine="709"/>
        <w:jc w:val="both"/>
        <w:rPr>
          <w:sz w:val="28"/>
          <w:szCs w:val="28"/>
        </w:rPr>
      </w:pPr>
      <w:r w:rsidRPr="00F12D55">
        <w:rPr>
          <w:sz w:val="28"/>
          <w:szCs w:val="28"/>
        </w:rPr>
        <w:t xml:space="preserve">Существующие нормативные правовые акты достаточно широко отражают вопросы обеспечения качества и безопасности медицинской деятельности. Однако для процедур, выполнение которых обеспечивает соответствующий уровень качества и безопасности в медицинских организациях, в регламентирующих документах не могут быть отражены конкретные методические приемы для их обеспечения. Данная информация должна быть изложена в документах иного уровня — </w:t>
      </w:r>
      <w:proofErr w:type="spellStart"/>
      <w:r w:rsidRPr="00F12D55">
        <w:rPr>
          <w:sz w:val="28"/>
          <w:szCs w:val="28"/>
        </w:rPr>
        <w:t>СОПах</w:t>
      </w:r>
      <w:proofErr w:type="spellEnd"/>
      <w:r w:rsidRPr="00F12D55">
        <w:rPr>
          <w:sz w:val="28"/>
          <w:szCs w:val="28"/>
        </w:rPr>
        <w:t>. Разработка СОП может проводиться как на уровне федеральных и региональных органов управления здравоохранением, так и на уровне конкретных медицинских орган</w:t>
      </w:r>
      <w:r>
        <w:rPr>
          <w:sz w:val="28"/>
          <w:szCs w:val="28"/>
        </w:rPr>
        <w:t>изаций, подразделений.</w:t>
      </w:r>
    </w:p>
    <w:p w14:paraId="7C04CE8C" w14:textId="7DD84C13" w:rsidR="00F12D55" w:rsidRPr="00F12D55" w:rsidRDefault="00F12D55" w:rsidP="00F12D55">
      <w:pPr>
        <w:spacing w:line="360" w:lineRule="auto"/>
        <w:ind w:firstLine="709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Таким образом, формирование и применение отвечающих современным требованиям медицинской науки и практики СОП может стать одним из действенных элементов управления как внутри медицинской организации, так и других субъект</w:t>
      </w:r>
      <w:r>
        <w:rPr>
          <w:sz w:val="28"/>
          <w:szCs w:val="28"/>
        </w:rPr>
        <w:t>ов управления здравоохранением.</w:t>
      </w:r>
    </w:p>
    <w:p w14:paraId="2073B9E7" w14:textId="7A0180B2" w:rsidR="00F12D55" w:rsidRPr="00F12D55" w:rsidRDefault="00F12D55" w:rsidP="00F12D55">
      <w:pPr>
        <w:spacing w:line="360" w:lineRule="auto"/>
        <w:ind w:firstLine="709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Задачами внедрения СОП в медицинской органи</w:t>
      </w:r>
      <w:r>
        <w:rPr>
          <w:sz w:val="28"/>
          <w:szCs w:val="28"/>
        </w:rPr>
        <w:t>зации, на наш взгляд, являются:</w:t>
      </w:r>
    </w:p>
    <w:p w14:paraId="7544A585" w14:textId="6195682F" w:rsidR="00F12D55" w:rsidRPr="00F12D55" w:rsidRDefault="00F12D55" w:rsidP="00F12D55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стандартизация деятельности;</w:t>
      </w:r>
    </w:p>
    <w:p w14:paraId="3552A0CA" w14:textId="69E25878" w:rsidR="00F12D55" w:rsidRPr="00F12D55" w:rsidRDefault="00F12D55" w:rsidP="00F12D55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упрощение ввода в работу новых сотрудников, поскольку обучение новых сотрудников проводится в соответствии со СОП, в которой в виде обязательной для заполнения формы имеется протокол обучения;</w:t>
      </w:r>
    </w:p>
    <w:p w14:paraId="4EF7008B" w14:textId="2DB09842" w:rsidR="00F12D55" w:rsidRPr="00F12D55" w:rsidRDefault="00F12D55" w:rsidP="00F12D55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F12D55">
        <w:rPr>
          <w:sz w:val="28"/>
          <w:szCs w:val="28"/>
        </w:rPr>
        <w:t xml:space="preserve">облегчение контроля и аудитов — в соответствующем разделе СОП определяются лица, ответственные за организацию работы в соответствии с СОП, за выполнение изложенных в нем </w:t>
      </w:r>
      <w:r w:rsidRPr="00F12D55">
        <w:rPr>
          <w:sz w:val="28"/>
          <w:szCs w:val="28"/>
        </w:rPr>
        <w:lastRenderedPageBreak/>
        <w:t>требований, за обучение сотрудников правилам работы в соответствии с СОП;</w:t>
      </w:r>
    </w:p>
    <w:p w14:paraId="512D0A02" w14:textId="3D2368CD" w:rsidR="00F12D55" w:rsidRPr="00F12D55" w:rsidRDefault="00F12D55" w:rsidP="00F12D55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повышение качества и безопасности медицинской помощи;</w:t>
      </w:r>
    </w:p>
    <w:p w14:paraId="56AAE492" w14:textId="3143F428" w:rsidR="00F12D55" w:rsidRPr="00F12D55" w:rsidRDefault="00F12D55" w:rsidP="00F12D55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F12D55">
        <w:rPr>
          <w:sz w:val="28"/>
          <w:szCs w:val="28"/>
        </w:rPr>
        <w:t>проведение аттестации сотрудников по владению профессиональными навыками.</w:t>
      </w:r>
    </w:p>
    <w:p w14:paraId="5EA37316" w14:textId="1D7A4BFC" w:rsidR="006560E5" w:rsidRDefault="00F12D55" w:rsidP="00F12D55">
      <w:pPr>
        <w:spacing w:line="360" w:lineRule="auto"/>
        <w:ind w:firstLine="709"/>
        <w:jc w:val="both"/>
        <w:rPr>
          <w:sz w:val="28"/>
          <w:szCs w:val="28"/>
        </w:rPr>
      </w:pPr>
      <w:r w:rsidRPr="00F12D55">
        <w:rPr>
          <w:sz w:val="28"/>
          <w:szCs w:val="28"/>
        </w:rPr>
        <w:t xml:space="preserve">В медицинских организациях актуальность разработки и внедрения СОП обусловлена необходимостью минимизировать риски, в том числе возможные ошибки, нанесение ущерба здоровью и жизни пациентов, а значит, необходимостью выбора наиболее безопасных, рациональных и адекватных технологий. Наряду с этим СОП, в которых представлены элементы контроля (чек-листы и др.) позволяют осуществлять мониторинг качества и безопасности медицинской помощи в медицинской организации, в том числе в случае возникновения конфликтов разного уровня и характера[1 – 5]. </w:t>
      </w:r>
      <w:r w:rsidR="006560E5">
        <w:rPr>
          <w:sz w:val="28"/>
          <w:szCs w:val="28"/>
        </w:rPr>
        <w:br w:type="page"/>
      </w:r>
    </w:p>
    <w:p w14:paraId="03255F2B" w14:textId="7CBE2577" w:rsidR="00880415" w:rsidRPr="0000446C" w:rsidRDefault="005E054C" w:rsidP="005E054C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Toc135383641"/>
      <w:r w:rsidRPr="005E054C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Порядок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разработки </w:t>
      </w:r>
      <w:r w:rsidRPr="005E054C">
        <w:rPr>
          <w:rFonts w:ascii="Times New Roman" w:hAnsi="Times New Roman" w:cs="Times New Roman"/>
          <w:b/>
          <w:bCs/>
          <w:color w:val="000000" w:themeColor="text1"/>
        </w:rPr>
        <w:t>стандартных операционных процедур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в аптечной организации</w:t>
      </w:r>
      <w:r w:rsidRPr="005E054C">
        <w:rPr>
          <w:rFonts w:ascii="Times New Roman" w:hAnsi="Times New Roman" w:cs="Times New Roman"/>
          <w:b/>
          <w:bCs/>
          <w:color w:val="000000" w:themeColor="text1"/>
        </w:rPr>
        <w:t>[6]</w:t>
      </w:r>
      <w:bookmarkEnd w:id="3"/>
    </w:p>
    <w:p w14:paraId="232F8BDC" w14:textId="3817BA76" w:rsidR="005E054C" w:rsidRPr="005E054C" w:rsidRDefault="005E054C" w:rsidP="005E054C">
      <w:pPr>
        <w:spacing w:line="360" w:lineRule="auto"/>
        <w:ind w:firstLine="709"/>
        <w:jc w:val="both"/>
        <w:rPr>
          <w:sz w:val="28"/>
          <w:szCs w:val="28"/>
        </w:rPr>
      </w:pPr>
      <w:r w:rsidRPr="005E054C">
        <w:rPr>
          <w:sz w:val="28"/>
          <w:szCs w:val="28"/>
        </w:rPr>
        <w:t>Нормативное определение стандартных операционных процедур (СОП) в фармацевтической деятельности впервые установлено приказом Минздрава РФ (МЗ) от 31.08.2016 № 647н «Об утверждении пра</w:t>
      </w:r>
      <w:bookmarkStart w:id="4" w:name="_GoBack"/>
      <w:bookmarkEnd w:id="4"/>
      <w:r w:rsidRPr="005E054C">
        <w:rPr>
          <w:sz w:val="28"/>
          <w:szCs w:val="28"/>
        </w:rPr>
        <w:t>вил надлежащей аптечной практики лекарственных препаратов для медицинского применения»</w:t>
      </w:r>
      <w:r w:rsidR="007D1ECA" w:rsidRPr="007D1ECA">
        <w:rPr>
          <w:sz w:val="28"/>
          <w:szCs w:val="28"/>
        </w:rPr>
        <w:t>[7]</w:t>
      </w:r>
      <w:r w:rsidRPr="005E054C">
        <w:rPr>
          <w:sz w:val="28"/>
          <w:szCs w:val="28"/>
        </w:rPr>
        <w:t>. Приказ № 674н как документ, требующий обязательного исполнения, действует классически: во времени, в пространстве и по кругу лиц. Действие во времени начинается с даты вступления в силу приказа (01.03.2017) и продолжается до его отмены, полной или в части СОП, другим приказом МЗ. Действие в пространстве охватывает территорию Российской Федерации, действие по кругу лиц распространяется на со</w:t>
      </w:r>
      <w:r>
        <w:rPr>
          <w:sz w:val="28"/>
          <w:szCs w:val="28"/>
        </w:rPr>
        <w:t>трудников аптечных организаций.</w:t>
      </w:r>
    </w:p>
    <w:p w14:paraId="31925685" w14:textId="727DA24D" w:rsidR="005E054C" w:rsidRPr="005E054C" w:rsidRDefault="005E054C" w:rsidP="005E054C">
      <w:pPr>
        <w:spacing w:line="360" w:lineRule="auto"/>
        <w:ind w:firstLine="709"/>
        <w:jc w:val="both"/>
        <w:rPr>
          <w:sz w:val="28"/>
          <w:szCs w:val="28"/>
        </w:rPr>
      </w:pPr>
      <w:r w:rsidRPr="005E054C">
        <w:rPr>
          <w:sz w:val="28"/>
          <w:szCs w:val="28"/>
        </w:rPr>
        <w:t>Обязательное наличие СОП и их исполнение установлено п. 37 приказа № 674н: «Все процессы деятельности субъекта розничной торговли, влияющие на качество, эффективность и безопасность товаров аптечного ассортимента, осуществляются в соответствии с утвержденными стандартными операционными процедурами». Если нормативно-правовые акты по организации фармацевтической деятельности содержат общие требования и запреты, то в СОП описываются конкретные действия по претворению в жизнь нормативно-правовых установок в условиях определенной аптечной организации. Это могут быть, например, проверка документов (рецепты, отгрузочные документы и т.д.), соблюдение санитарного режима, контроль условий хранения и учет ЛП, порядок консультирования при отпуске ЛП, действия при возникнове</w:t>
      </w:r>
      <w:r>
        <w:rPr>
          <w:sz w:val="28"/>
          <w:szCs w:val="28"/>
        </w:rPr>
        <w:t>нии конфликтной ситуации и т.п.</w:t>
      </w:r>
    </w:p>
    <w:p w14:paraId="6CCC575C" w14:textId="2F45851C" w:rsidR="007D1ECA" w:rsidRDefault="005E054C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5E054C">
        <w:rPr>
          <w:sz w:val="28"/>
          <w:szCs w:val="28"/>
        </w:rPr>
        <w:t>Основным нормативно-правовым актом по стандартизации в РФ является Федеральный закон от 29.06.2015 № 162-ФЗ «О стандартизации в Российской Федерации»</w:t>
      </w:r>
      <w:r w:rsidR="007D1ECA" w:rsidRPr="007D1ECA">
        <w:rPr>
          <w:sz w:val="28"/>
          <w:szCs w:val="28"/>
        </w:rPr>
        <w:t>[8]</w:t>
      </w:r>
      <w:r w:rsidRPr="005E054C">
        <w:rPr>
          <w:sz w:val="28"/>
          <w:szCs w:val="28"/>
        </w:rPr>
        <w:t>.</w:t>
      </w:r>
      <w:r w:rsidR="007D1ECA" w:rsidRPr="007D1ECA">
        <w:rPr>
          <w:sz w:val="28"/>
          <w:szCs w:val="28"/>
        </w:rPr>
        <w:t xml:space="preserve"> </w:t>
      </w:r>
      <w:r w:rsidRPr="005E054C">
        <w:rPr>
          <w:sz w:val="28"/>
          <w:szCs w:val="28"/>
        </w:rPr>
        <w:t xml:space="preserve">Основным нормативно-правовым актом по </w:t>
      </w:r>
      <w:r w:rsidRPr="005E054C">
        <w:rPr>
          <w:sz w:val="28"/>
          <w:szCs w:val="28"/>
        </w:rPr>
        <w:lastRenderedPageBreak/>
        <w:t>стандартизации в РФ является Федеральный закон от 29.06.2015 № 162-ФЗ «О стандартизации в Российской Федерации» (Закон № 162-ФЗ). В соответствии с п. 6 ст. 2 данного документа к  объектам стандартизации относятся: продукция (работы, услуги), процессы, системы менеджмента, терминология, условные обозначения, исследования (испытания) и  измерения (включая отбор образцов), методы испытаний, маркировка, процедуры оценки соответствия и иные объекты. Стандартизация направлена на повышение качества продукции, работ, услуг и повышение конкурентоспособности продукции российского производства (п.</w:t>
      </w:r>
      <w:r w:rsidR="007D1ECA">
        <w:rPr>
          <w:sz w:val="28"/>
          <w:szCs w:val="28"/>
        </w:rPr>
        <w:t xml:space="preserve"> 6 ч. 1 ст. 3 Закона № 162-ФЗ).</w:t>
      </w:r>
    </w:p>
    <w:p w14:paraId="4290B8CF" w14:textId="3C6884D7" w:rsidR="007D1ECA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7D1ECA">
        <w:rPr>
          <w:sz w:val="28"/>
          <w:szCs w:val="28"/>
        </w:rPr>
        <w:t xml:space="preserve">Основой СОП являются нормативно-правовые акты, обязательные к исполнению для всех участников розничного </w:t>
      </w:r>
      <w:proofErr w:type="spellStart"/>
      <w:r w:rsidRPr="007D1ECA">
        <w:rPr>
          <w:sz w:val="28"/>
          <w:szCs w:val="28"/>
        </w:rPr>
        <w:t>фармрынка</w:t>
      </w:r>
      <w:proofErr w:type="spellEnd"/>
      <w:r w:rsidRPr="007D1ECA">
        <w:rPr>
          <w:sz w:val="28"/>
          <w:szCs w:val="28"/>
        </w:rPr>
        <w:t xml:space="preserve">, поэтому СОП не могут не быть типовыми. В то же время, несмотря на единообразие многих производственных процессов, при разработке СОП должны учитываться индивидуальные особенности каждой отдельной аптечной организации. Так, необходимо принимать во внимание профессиональный уровень и стаж работы </w:t>
      </w:r>
      <w:proofErr w:type="spellStart"/>
      <w:r w:rsidRPr="007D1ECA">
        <w:rPr>
          <w:sz w:val="28"/>
          <w:szCs w:val="28"/>
        </w:rPr>
        <w:t>фармспециалистов</w:t>
      </w:r>
      <w:proofErr w:type="spellEnd"/>
      <w:r w:rsidRPr="007D1ECA">
        <w:rPr>
          <w:sz w:val="28"/>
          <w:szCs w:val="28"/>
        </w:rPr>
        <w:t>, планировку помещений, обслуживаемый контингент, количество поставщиков и многое другое.</w:t>
      </w:r>
    </w:p>
    <w:p w14:paraId="621B283E" w14:textId="2940D317" w:rsidR="007D1ECA" w:rsidRPr="007D1ECA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7D1ECA">
        <w:rPr>
          <w:sz w:val="28"/>
          <w:szCs w:val="28"/>
        </w:rPr>
        <w:t xml:space="preserve">СОП могут включать таблицы и схемы, а также содержать нормативы времени, рассчитанные путем хронометража, если это необходимо. Описание рабочих процессов должно быть простым, доступным и адаптированным к уровню квалификации </w:t>
      </w:r>
      <w:r>
        <w:rPr>
          <w:sz w:val="28"/>
          <w:szCs w:val="28"/>
        </w:rPr>
        <w:t>персонала аптечной организации.</w:t>
      </w:r>
    </w:p>
    <w:p w14:paraId="272D1F66" w14:textId="06342B04" w:rsidR="007D1ECA" w:rsidRPr="007D1ECA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7D1ECA">
        <w:rPr>
          <w:sz w:val="28"/>
          <w:szCs w:val="28"/>
        </w:rPr>
        <w:t xml:space="preserve">Разработкой СОП должны заниматься наиболее опытные, знающие специалисты, имеющие навыки проведения технической учебы. Кроме нормативно-правовых актов, в основу СОП могут быть положены практические навыки, например по разбору обращений граждан, причем не </w:t>
      </w:r>
      <w:r>
        <w:rPr>
          <w:sz w:val="28"/>
          <w:szCs w:val="28"/>
        </w:rPr>
        <w:t xml:space="preserve">только негативного содержания. </w:t>
      </w:r>
    </w:p>
    <w:p w14:paraId="12D70CE4" w14:textId="01E62A01" w:rsidR="007D1ECA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7D1ECA">
        <w:rPr>
          <w:sz w:val="28"/>
          <w:szCs w:val="28"/>
        </w:rPr>
        <w:t xml:space="preserve">Каждый СОП утверждается руководителем аптеки или аптечной сети. Назначение работников, ответственных за разработку СОП, установление сроков их разработки, а также внесение изменений в  готовые документы или </w:t>
      </w:r>
      <w:r w:rsidRPr="007D1ECA">
        <w:rPr>
          <w:sz w:val="28"/>
          <w:szCs w:val="28"/>
        </w:rPr>
        <w:lastRenderedPageBreak/>
        <w:t>их отмена осуществляются аптечной организацией самостоятельно, с соблюдением принципов стандартизации, предусмо</w:t>
      </w:r>
      <w:r>
        <w:rPr>
          <w:sz w:val="28"/>
          <w:szCs w:val="28"/>
        </w:rPr>
        <w:t>тренных ст. 4 Закона № 162-ФЗ.</w:t>
      </w:r>
    </w:p>
    <w:p w14:paraId="75E62341" w14:textId="35C6AE19" w:rsidR="007D1ECA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7D1ECA">
        <w:rPr>
          <w:sz w:val="28"/>
          <w:szCs w:val="28"/>
        </w:rPr>
        <w:t>СОП по конкретным видам деятельности составляются на основе действующих нормативно-правовых актов всех уровней. Например, СОП реализации гражданам товаров аптечного ассортимента разрабатывается с учетом требований статей главы 10 Федерального закона от 12.04.2010 61-ФЗ «Об обращении лекарственных средств», разделов I «Общие положения» и VIII «Особенности продажи лекарственных препаратов и медицинских изделий» постановления Правительства РФ от 19.01.1998 №  55 «Об  утверждении Правил продажи отдельных видов товаров…», приказа МЗ от 11.07.2017 № 403н «Об утверждении правил отпуска лекарственных препаратов для медицинского применения …», приказа МЗ от 17.06.2013 № 378н «Об утверждении правил операций, связанных с обращением лекарственных средств для медицинского применения… подлежащих предметно-количественному учету…».</w:t>
      </w:r>
    </w:p>
    <w:p w14:paraId="2AB61DEB" w14:textId="5EE8DB3D" w:rsidR="007D1ECA" w:rsidRPr="007D1ECA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7D1ECA">
        <w:rPr>
          <w:sz w:val="28"/>
          <w:szCs w:val="28"/>
        </w:rPr>
        <w:t>Контролирующие органы (Росздравнадзор и его территориальные управления, органы по лицензированию фармацевтической деятельности в субъектах РФ) во исполнение приказа № 647н обязаны проверять наличие СОП как таковых. Чем может грозить их отсутствие? Подпункт г) п. 5 Положения о лицензировании фармацевтической деятельности, утвержденного постановлением Правительства РФ от 22.12.2011 № 1081, обязывает лицензиата соответствовать лицензионным требованиям по соблюдению надлежащей аптечной практики, то есть выполнять положения приказа № 647н. Пункт 6 данного постановления относит к грубым нарушениям все  тр</w:t>
      </w:r>
      <w:r>
        <w:rPr>
          <w:sz w:val="28"/>
          <w:szCs w:val="28"/>
        </w:rPr>
        <w:t>ебования, перечисленные в п. 5.</w:t>
      </w:r>
    </w:p>
    <w:p w14:paraId="3B2995CD" w14:textId="6BA5BEDE" w:rsidR="007D1ECA" w:rsidRPr="007D1ECA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7D1ECA">
        <w:rPr>
          <w:sz w:val="28"/>
          <w:szCs w:val="28"/>
        </w:rPr>
        <w:t>В соответствии с ч. 4 ст. 14.1 Кодекса РФ об административных правонарушениях (КоАП), осуществление предпринимательской деятельности с грубым нарушением требований и условий, предусмотренных специальным р</w:t>
      </w:r>
      <w:r>
        <w:rPr>
          <w:sz w:val="28"/>
          <w:szCs w:val="28"/>
        </w:rPr>
        <w:t>азрешением (лицензией), влечет:</w:t>
      </w:r>
    </w:p>
    <w:p w14:paraId="434E3516" w14:textId="5CFAB7C6" w:rsidR="007D1ECA" w:rsidRPr="007D1ECA" w:rsidRDefault="007D1ECA" w:rsidP="007D1ECA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D1ECA">
        <w:rPr>
          <w:sz w:val="28"/>
          <w:szCs w:val="28"/>
        </w:rPr>
        <w:lastRenderedPageBreak/>
        <w:t>для лиц, осуществляющих предпринимательскую деятельность без образования юридического лица, – штраф в размере от 4 до 8 тыс. руб. либо приостановление деятельности на срок до 90 суток;</w:t>
      </w:r>
    </w:p>
    <w:p w14:paraId="78A8CD2C" w14:textId="5B475B0C" w:rsidR="007D1ECA" w:rsidRPr="007D1ECA" w:rsidRDefault="007D1ECA" w:rsidP="007D1ECA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D1ECA">
        <w:rPr>
          <w:sz w:val="28"/>
          <w:szCs w:val="28"/>
        </w:rPr>
        <w:t xml:space="preserve">для должностных лиц – штраф от 5 до 10 тыс. руб.;  </w:t>
      </w:r>
    </w:p>
    <w:p w14:paraId="29A4049A" w14:textId="7891F09D" w:rsidR="007D1ECA" w:rsidRPr="007D1ECA" w:rsidRDefault="007D1ECA" w:rsidP="007D1ECA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D1ECA">
        <w:rPr>
          <w:sz w:val="28"/>
          <w:szCs w:val="28"/>
        </w:rPr>
        <w:t>для юридических лиц – штраф от 100 до 200 тыс. руб. или приостановление деятельности на 90 суток.</w:t>
      </w:r>
    </w:p>
    <w:p w14:paraId="2211D811" w14:textId="14514BE9" w:rsidR="007D1ECA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  <w:r w:rsidRPr="007D1ECA">
        <w:rPr>
          <w:sz w:val="28"/>
          <w:szCs w:val="28"/>
        </w:rPr>
        <w:t>В ходе проверок могут быть также выявлены нарушения, связанные либо с отсутствием необходимых операций в СОП, либо с их невыполнением недостаточно квалифицированным или плохо обученным персоналом. Характер наказания определяется судом в зависимости от того, какие именно нормативно-правовые акты были нарушены.</w:t>
      </w:r>
    </w:p>
    <w:p w14:paraId="1A62E231" w14:textId="77777777" w:rsidR="007D1ECA" w:rsidRPr="00D95C76" w:rsidRDefault="007D1ECA" w:rsidP="007D1ECA">
      <w:pPr>
        <w:spacing w:line="360" w:lineRule="auto"/>
        <w:ind w:firstLine="709"/>
        <w:jc w:val="both"/>
        <w:rPr>
          <w:sz w:val="28"/>
          <w:szCs w:val="28"/>
        </w:rPr>
      </w:pPr>
    </w:p>
    <w:p w14:paraId="3D79C43E" w14:textId="630D2654" w:rsidR="00D95C76" w:rsidRPr="00D95C76" w:rsidRDefault="00D95C76" w:rsidP="00D95C76">
      <w:pPr>
        <w:spacing w:line="360" w:lineRule="auto"/>
        <w:ind w:firstLine="709"/>
        <w:jc w:val="both"/>
        <w:rPr>
          <w:sz w:val="28"/>
          <w:szCs w:val="28"/>
        </w:rPr>
      </w:pPr>
    </w:p>
    <w:p w14:paraId="1E8000F9" w14:textId="2B04299F" w:rsidR="006560E5" w:rsidRDefault="006560E5" w:rsidP="00880415">
      <w:pPr>
        <w:spacing w:line="360" w:lineRule="auto"/>
        <w:ind w:firstLine="709"/>
        <w:jc w:val="both"/>
        <w:rPr>
          <w:sz w:val="28"/>
          <w:szCs w:val="28"/>
        </w:rPr>
      </w:pPr>
    </w:p>
    <w:p w14:paraId="610BF90B" w14:textId="0A6EAD51" w:rsidR="00914E78" w:rsidRDefault="00914E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2900BD" w14:textId="7034DCE2" w:rsidR="00CA5976" w:rsidRDefault="00914E78" w:rsidP="00CA5976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_Toc135383642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Примеры</w:t>
      </w:r>
      <w:r w:rsidR="00CA5976">
        <w:rPr>
          <w:rFonts w:ascii="Times New Roman" w:hAnsi="Times New Roman" w:cs="Times New Roman"/>
          <w:b/>
          <w:bCs/>
          <w:color w:val="000000" w:themeColor="text1"/>
        </w:rPr>
        <w:t xml:space="preserve"> стандартных операционных процедур методик фармацевтического анализа</w:t>
      </w:r>
      <w:r w:rsidR="00CA5976" w:rsidRPr="00CA5976">
        <w:rPr>
          <w:rFonts w:ascii="Times New Roman" w:hAnsi="Times New Roman" w:cs="Times New Roman"/>
          <w:b/>
          <w:bCs/>
          <w:color w:val="000000" w:themeColor="text1"/>
        </w:rPr>
        <w:t>[9]</w:t>
      </w:r>
      <w:bookmarkEnd w:id="5"/>
    </w:p>
    <w:p w14:paraId="339E287B" w14:textId="09943F9C" w:rsidR="00CA5976" w:rsidRDefault="00CA5976" w:rsidP="00550F60">
      <w:pPr>
        <w:pStyle w:val="1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Toc135383643"/>
      <w:r>
        <w:rPr>
          <w:rFonts w:ascii="Times New Roman" w:hAnsi="Times New Roman" w:cs="Times New Roman"/>
          <w:b/>
          <w:bCs/>
          <w:color w:val="000000" w:themeColor="text1"/>
        </w:rPr>
        <w:t>Взвешивание</w:t>
      </w:r>
      <w:bookmarkEnd w:id="6"/>
    </w:p>
    <w:p w14:paraId="5EAE6465" w14:textId="11D0ACA1" w:rsidR="00550F60" w:rsidRPr="00550F60" w:rsidRDefault="007876DD" w:rsidP="00550F60">
      <w:pPr>
        <w:pStyle w:val="1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7" w:name="_Toc135383644"/>
      <w:r w:rsidR="00550F60">
        <w:rPr>
          <w:rFonts w:ascii="Times New Roman" w:hAnsi="Times New Roman" w:cs="Times New Roman"/>
          <w:b/>
          <w:bCs/>
          <w:color w:val="000000" w:themeColor="text1"/>
        </w:rPr>
        <w:t>Взвешивание на аптечных весах</w:t>
      </w:r>
      <w:bookmarkEnd w:id="7"/>
    </w:p>
    <w:p w14:paraId="370AC7C2" w14:textId="02381CAF" w:rsidR="00CA5976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>Протереть чашки весов ватным тампоном, смоченным спиртоэфирной смесью</w:t>
      </w:r>
    </w:p>
    <w:p w14:paraId="48C6744B" w14:textId="7459F5E3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>Проверить равновесие весов</w:t>
      </w:r>
    </w:p>
    <w:p w14:paraId="3A3B05D1" w14:textId="0F7FF2CA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>Подложить вощаную капсулу под правую чашку весов</w:t>
      </w:r>
    </w:p>
    <w:p w14:paraId="53AC51D9" w14:textId="77777777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>Взять весы за кольцо большим и указательным пальцами левой руки, придерживая стрелку весов средним и безымянным пальцами левой руки</w:t>
      </w:r>
    </w:p>
    <w:p w14:paraId="04CD4332" w14:textId="77777777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>Во время взвешивания локоть левой руки должен опираться о стол</w:t>
      </w:r>
    </w:p>
    <w:p w14:paraId="4AFC15E9" w14:textId="77777777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>Поместить разновес на левую чашку весов с помощью пинцета</w:t>
      </w:r>
    </w:p>
    <w:p w14:paraId="4CF109EE" w14:textId="77777777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 xml:space="preserve">Насыпать возвратно-поступательным движением лекарственное вещество (ЛВ) или порошкообразный реактив из </w:t>
      </w:r>
      <w:proofErr w:type="spellStart"/>
      <w:r>
        <w:rPr>
          <w:sz w:val="28"/>
          <w:szCs w:val="28"/>
        </w:rPr>
        <w:t>штангласа</w:t>
      </w:r>
      <w:proofErr w:type="spellEnd"/>
      <w:r>
        <w:rPr>
          <w:sz w:val="28"/>
          <w:szCs w:val="28"/>
        </w:rPr>
        <w:t xml:space="preserve"> на правую чашку весов</w:t>
      </w:r>
    </w:p>
    <w:p w14:paraId="65E2E33D" w14:textId="71B23A1B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>Отобрать лишнее количество взвешиваемого ЛВ (реактива) вощаной капсулой или целлулоидной пленкой</w:t>
      </w:r>
    </w:p>
    <w:p w14:paraId="3A91FA3D" w14:textId="1383DBFC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>Перенести навеску ЛВ (реактива) в пробирку или колбу с помощью вощаной капсулы или воронки</w:t>
      </w:r>
    </w:p>
    <w:p w14:paraId="5D6C0189" w14:textId="0CA959C0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 xml:space="preserve"> Протереть горлышко </w:t>
      </w:r>
      <w:proofErr w:type="spellStart"/>
      <w:r>
        <w:rPr>
          <w:sz w:val="28"/>
          <w:szCs w:val="28"/>
        </w:rPr>
        <w:t>штангласа</w:t>
      </w:r>
      <w:proofErr w:type="spellEnd"/>
      <w:r>
        <w:rPr>
          <w:sz w:val="28"/>
          <w:szCs w:val="28"/>
        </w:rPr>
        <w:t xml:space="preserve"> и чашки весов ватным тампоном, смоченным спиртоэфирной смесью</w:t>
      </w:r>
    </w:p>
    <w:p w14:paraId="3DB10CB0" w14:textId="1D3A0671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 xml:space="preserve"> Поставить </w:t>
      </w:r>
      <w:proofErr w:type="spellStart"/>
      <w:r>
        <w:rPr>
          <w:sz w:val="28"/>
          <w:szCs w:val="28"/>
        </w:rPr>
        <w:t>штангласы</w:t>
      </w:r>
      <w:proofErr w:type="spellEnd"/>
      <w:r>
        <w:rPr>
          <w:sz w:val="28"/>
          <w:szCs w:val="28"/>
        </w:rPr>
        <w:t xml:space="preserve"> на место</w:t>
      </w:r>
    </w:p>
    <w:p w14:paraId="17E429DD" w14:textId="5615D060" w:rsidR="00550F60" w:rsidRPr="00550F60" w:rsidRDefault="00550F60" w:rsidP="00550F60">
      <w:pPr>
        <w:pStyle w:val="a5"/>
        <w:numPr>
          <w:ilvl w:val="0"/>
          <w:numId w:val="39"/>
        </w:numPr>
        <w:spacing w:line="360" w:lineRule="auto"/>
        <w:jc w:val="both"/>
      </w:pPr>
      <w:r>
        <w:rPr>
          <w:sz w:val="28"/>
          <w:szCs w:val="28"/>
        </w:rPr>
        <w:t xml:space="preserve"> Повесить весы на штатив для весов</w:t>
      </w:r>
    </w:p>
    <w:p w14:paraId="497EB074" w14:textId="5F5C57CF" w:rsidR="00550F60" w:rsidRDefault="007876DD" w:rsidP="00550F60">
      <w:pPr>
        <w:pStyle w:val="1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35383645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Растворимость</w:t>
      </w:r>
      <w:bookmarkEnd w:id="8"/>
    </w:p>
    <w:p w14:paraId="75351E19" w14:textId="19B8F473" w:rsidR="007876DD" w:rsidRDefault="007876DD" w:rsidP="007876DD">
      <w:pPr>
        <w:pStyle w:val="1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9" w:name="_Toc135383646"/>
      <w:r>
        <w:rPr>
          <w:rFonts w:ascii="Times New Roman" w:hAnsi="Times New Roman" w:cs="Times New Roman"/>
          <w:b/>
          <w:bCs/>
          <w:color w:val="000000" w:themeColor="text1"/>
        </w:rPr>
        <w:t>Определение растворимости ЛВ при обозначении  условными терминами</w:t>
      </w:r>
      <w:bookmarkEnd w:id="9"/>
    </w:p>
    <w:p w14:paraId="58648E09" w14:textId="25B4BBD6" w:rsidR="007876DD" w:rsidRPr="007876DD" w:rsidRDefault="007876DD" w:rsidP="007876DD">
      <w:pPr>
        <w:pStyle w:val="a5"/>
        <w:numPr>
          <w:ilvl w:val="0"/>
          <w:numId w:val="40"/>
        </w:numPr>
        <w:spacing w:line="360" w:lineRule="auto"/>
        <w:jc w:val="both"/>
      </w:pPr>
      <w:r>
        <w:rPr>
          <w:sz w:val="28"/>
          <w:szCs w:val="28"/>
        </w:rPr>
        <w:t>Растереть анализируемое ЛВ в ступке в тонкий порошок</w:t>
      </w:r>
    </w:p>
    <w:p w14:paraId="2196BE56" w14:textId="462E6E9E" w:rsidR="007876DD" w:rsidRPr="007876DD" w:rsidRDefault="007876DD" w:rsidP="007876DD">
      <w:pPr>
        <w:pStyle w:val="a5"/>
        <w:numPr>
          <w:ilvl w:val="0"/>
          <w:numId w:val="40"/>
        </w:numPr>
        <w:spacing w:line="360" w:lineRule="auto"/>
        <w:jc w:val="both"/>
      </w:pPr>
      <w:r>
        <w:rPr>
          <w:sz w:val="28"/>
          <w:szCs w:val="28"/>
        </w:rPr>
        <w:t>Отвесить на аптечных весах 1,0 г ЛВ или кратно уменьшенную навеску ЛВ</w:t>
      </w:r>
    </w:p>
    <w:p w14:paraId="7E568A59" w14:textId="3990BCD3" w:rsidR="007876DD" w:rsidRPr="00137D01" w:rsidRDefault="007876DD" w:rsidP="007876DD">
      <w:pPr>
        <w:pStyle w:val="a5"/>
        <w:numPr>
          <w:ilvl w:val="0"/>
          <w:numId w:val="40"/>
        </w:numPr>
        <w:spacing w:line="360" w:lineRule="auto"/>
        <w:jc w:val="both"/>
      </w:pPr>
      <w:r>
        <w:rPr>
          <w:sz w:val="28"/>
          <w:szCs w:val="28"/>
        </w:rPr>
        <w:t xml:space="preserve">Отмерить мерным цилиндром соответствующей вместимости или градуированной пробиркой количество растворителя (мл) согласно нижнему пределу объема растворителя, необходимого для растворения массы навески ЛВ в </w:t>
      </w:r>
      <w:proofErr w:type="spellStart"/>
      <w:r>
        <w:rPr>
          <w:sz w:val="28"/>
          <w:szCs w:val="28"/>
        </w:rPr>
        <w:t>соотвествии</w:t>
      </w:r>
      <w:proofErr w:type="spellEnd"/>
      <w:r>
        <w:rPr>
          <w:sz w:val="28"/>
          <w:szCs w:val="28"/>
        </w:rPr>
        <w:t xml:space="preserve"> с условным термином обозначения растворимости (см. ОФС </w:t>
      </w:r>
      <w:r w:rsidRPr="007876DD">
        <w:rPr>
          <w:sz w:val="28"/>
          <w:szCs w:val="28"/>
        </w:rPr>
        <w:t>“</w:t>
      </w:r>
      <w:r>
        <w:rPr>
          <w:sz w:val="28"/>
          <w:szCs w:val="28"/>
        </w:rPr>
        <w:t>Растворимость</w:t>
      </w:r>
      <w:r w:rsidRPr="007876DD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ГФ </w:t>
      </w:r>
      <w:r>
        <w:rPr>
          <w:sz w:val="28"/>
          <w:szCs w:val="28"/>
          <w:lang w:val="en-US"/>
        </w:rPr>
        <w:t>XIV</w:t>
      </w:r>
      <w:r w:rsidRPr="007876DD">
        <w:rPr>
          <w:sz w:val="28"/>
          <w:szCs w:val="28"/>
        </w:rPr>
        <w:t xml:space="preserve">), </w:t>
      </w:r>
      <w:r>
        <w:rPr>
          <w:sz w:val="28"/>
          <w:szCs w:val="28"/>
        </w:rPr>
        <w:t>внести в соответствующую посуду (колба, химический стакан)</w:t>
      </w:r>
    </w:p>
    <w:p w14:paraId="6AC7D740" w14:textId="3E0B610F" w:rsidR="00137D01" w:rsidRPr="00137D01" w:rsidRDefault="00137D01" w:rsidP="007876DD">
      <w:pPr>
        <w:pStyle w:val="a5"/>
        <w:numPr>
          <w:ilvl w:val="0"/>
          <w:numId w:val="40"/>
        </w:numPr>
        <w:spacing w:line="360" w:lineRule="auto"/>
        <w:jc w:val="both"/>
      </w:pPr>
      <w:r>
        <w:rPr>
          <w:sz w:val="28"/>
          <w:szCs w:val="28"/>
        </w:rPr>
        <w:t>Внести навеску ЛВ в приготовленный объем растворителя</w:t>
      </w:r>
    </w:p>
    <w:p w14:paraId="3B581ADD" w14:textId="251ED4F6" w:rsidR="00137D01" w:rsidRPr="00137D01" w:rsidRDefault="00137D01" w:rsidP="007876DD">
      <w:pPr>
        <w:pStyle w:val="a5"/>
        <w:numPr>
          <w:ilvl w:val="0"/>
          <w:numId w:val="40"/>
        </w:numPr>
        <w:spacing w:line="360" w:lineRule="auto"/>
        <w:jc w:val="both"/>
      </w:pPr>
      <w:r>
        <w:rPr>
          <w:sz w:val="28"/>
          <w:szCs w:val="28"/>
        </w:rPr>
        <w:t>Энергично встряхивать содержимое емкости (колбы или пробирки) в течение 10 мин при температуре (20±2)</w:t>
      </w:r>
      <w:proofErr w:type="spellStart"/>
      <w:r w:rsidRPr="00137D01"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  <w:lang w:val="en-US"/>
        </w:rPr>
        <w:t>C</w:t>
      </w:r>
      <w:proofErr w:type="spellEnd"/>
    </w:p>
    <w:p w14:paraId="072E8D19" w14:textId="57140CAF" w:rsidR="00137D01" w:rsidRPr="00137D01" w:rsidRDefault="00137D01" w:rsidP="00137D01">
      <w:pPr>
        <w:pStyle w:val="a5"/>
        <w:numPr>
          <w:ilvl w:val="0"/>
          <w:numId w:val="40"/>
        </w:numPr>
        <w:spacing w:line="360" w:lineRule="auto"/>
        <w:jc w:val="both"/>
      </w:pPr>
      <w:r>
        <w:rPr>
          <w:sz w:val="28"/>
          <w:szCs w:val="28"/>
        </w:rPr>
        <w:t>Оценить результат определения растворимости</w:t>
      </w:r>
    </w:p>
    <w:p w14:paraId="1D3601D7" w14:textId="37F4C0CA" w:rsidR="00137D01" w:rsidRPr="00137D01" w:rsidRDefault="00137D01" w:rsidP="00137D01">
      <w:pPr>
        <w:pStyle w:val="a5"/>
        <w:spacing w:line="360" w:lineRule="auto"/>
        <w:jc w:val="both"/>
      </w:pPr>
      <w:r>
        <w:rPr>
          <w:b/>
          <w:sz w:val="28"/>
          <w:szCs w:val="28"/>
        </w:rPr>
        <w:t>Примечание</w:t>
      </w:r>
      <w:r w:rsidRPr="00137D0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если навеска растворилась в нижнем пределе объема растворителя, ЛВ бракуют и дальнейшее определение не проводят</w:t>
      </w:r>
    </w:p>
    <w:p w14:paraId="3243FC5C" w14:textId="6139DB92" w:rsidR="007876DD" w:rsidRPr="00137D01" w:rsidRDefault="00137D01" w:rsidP="007876DD">
      <w:pPr>
        <w:pStyle w:val="a5"/>
        <w:numPr>
          <w:ilvl w:val="0"/>
          <w:numId w:val="40"/>
        </w:numPr>
        <w:spacing w:line="360" w:lineRule="auto"/>
        <w:jc w:val="both"/>
      </w:pPr>
      <w:r w:rsidRPr="00137D01">
        <w:rPr>
          <w:sz w:val="28"/>
          <w:szCs w:val="28"/>
        </w:rPr>
        <w:t>Если навеска не растворилась в нижнем пределе объема растворителя (соответствует требованиям НД), добави</w:t>
      </w:r>
      <w:r>
        <w:rPr>
          <w:sz w:val="28"/>
          <w:szCs w:val="28"/>
        </w:rPr>
        <w:t>ть в емкость объем растворителя, недостающий до верхнего предела для растворения навески ЛВ согласно условному термину растворимости в частной ФС</w:t>
      </w:r>
    </w:p>
    <w:p w14:paraId="03A968AD" w14:textId="573EABAD" w:rsidR="00137D01" w:rsidRPr="00137D01" w:rsidRDefault="00C84849" w:rsidP="007876DD">
      <w:pPr>
        <w:pStyle w:val="a5"/>
        <w:numPr>
          <w:ilvl w:val="0"/>
          <w:numId w:val="40"/>
        </w:numPr>
        <w:spacing w:line="360" w:lineRule="auto"/>
        <w:jc w:val="both"/>
      </w:pPr>
      <w:r>
        <w:rPr>
          <w:sz w:val="28"/>
          <w:szCs w:val="28"/>
        </w:rPr>
        <w:t>Энергично встряхивать содержимое емкости (колбы или пробирки) в течении 10 мин при температуре (20±2)</w:t>
      </w:r>
      <w:proofErr w:type="spellStart"/>
      <w:r w:rsidRPr="00137D01"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  <w:lang w:val="en-US"/>
        </w:rPr>
        <w:t>C</w:t>
      </w:r>
      <w:proofErr w:type="spellEnd"/>
    </w:p>
    <w:p w14:paraId="4394E691" w14:textId="16251F4E" w:rsidR="00137D01" w:rsidRPr="00137D01" w:rsidRDefault="00137D01" w:rsidP="00137D01">
      <w:pPr>
        <w:pStyle w:val="a5"/>
        <w:spacing w:line="360" w:lineRule="auto"/>
        <w:jc w:val="both"/>
      </w:pPr>
      <w:r>
        <w:rPr>
          <w:b/>
          <w:sz w:val="28"/>
          <w:szCs w:val="28"/>
        </w:rPr>
        <w:t>Примечание</w:t>
      </w:r>
      <w:r w:rsidRPr="00137D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84849">
        <w:rPr>
          <w:sz w:val="28"/>
          <w:szCs w:val="28"/>
        </w:rPr>
        <w:t>п</w:t>
      </w:r>
      <w:r>
        <w:rPr>
          <w:sz w:val="28"/>
          <w:szCs w:val="28"/>
        </w:rPr>
        <w:t>робы медленно растворимых веществ (например, кальция глюконат в воде медленно умеренно растворим), требующих для растворения более 10 мин, нагреть на водяной бане до 30</w:t>
      </w:r>
      <w:proofErr w:type="spellStart"/>
      <w:r w:rsidRPr="00137D01"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  <w:lang w:val="en-US"/>
        </w:rPr>
        <w:t>C</w:t>
      </w:r>
      <w:proofErr w:type="spellEnd"/>
      <w:r>
        <w:rPr>
          <w:sz w:val="28"/>
          <w:szCs w:val="28"/>
        </w:rPr>
        <w:t>, энергично встряхнуть в течение 1-2 мин, охладить до (20±2)</w:t>
      </w:r>
      <w:proofErr w:type="spellStart"/>
      <w:r w:rsidRPr="00137D01"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  <w:lang w:val="en-US"/>
        </w:rPr>
        <w:t>C</w:t>
      </w:r>
      <w:proofErr w:type="spellEnd"/>
      <w:r>
        <w:rPr>
          <w:sz w:val="28"/>
          <w:szCs w:val="28"/>
        </w:rPr>
        <w:t xml:space="preserve"> и наблюдать результат</w:t>
      </w:r>
    </w:p>
    <w:p w14:paraId="231CEB0C" w14:textId="5E7B859D" w:rsidR="00137D01" w:rsidRPr="00137D01" w:rsidRDefault="00137D01" w:rsidP="007876DD">
      <w:pPr>
        <w:pStyle w:val="a5"/>
        <w:numPr>
          <w:ilvl w:val="0"/>
          <w:numId w:val="40"/>
        </w:numPr>
        <w:spacing w:line="360" w:lineRule="auto"/>
        <w:jc w:val="both"/>
      </w:pPr>
      <w:r>
        <w:rPr>
          <w:sz w:val="28"/>
          <w:szCs w:val="28"/>
        </w:rPr>
        <w:lastRenderedPageBreak/>
        <w:t>Сравнить результат определения растворимости с нормативом ФС</w:t>
      </w:r>
    </w:p>
    <w:p w14:paraId="790E81D8" w14:textId="6E875876" w:rsidR="00137D01" w:rsidRPr="00137D01" w:rsidRDefault="00137D01" w:rsidP="00137D01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 w:rsidRPr="00137D0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ЛВ считать растворившимся, если в растворе при наблюдении в проходящем свете не обнаруживаются частицы ЛВ</w:t>
      </w:r>
    </w:p>
    <w:p w14:paraId="410D3D73" w14:textId="5EA66717" w:rsidR="00137D01" w:rsidRPr="00C84849" w:rsidRDefault="00137D01" w:rsidP="00137D01">
      <w:pPr>
        <w:pStyle w:val="a5"/>
        <w:numPr>
          <w:ilvl w:val="0"/>
          <w:numId w:val="40"/>
        </w:numPr>
        <w:spacing w:line="360" w:lineRule="auto"/>
        <w:jc w:val="both"/>
      </w:pPr>
      <w:r w:rsidRPr="00137D01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 заключение о соответствии растворимости требованиям ФС</w:t>
      </w:r>
    </w:p>
    <w:p w14:paraId="292EC037" w14:textId="31E73267" w:rsidR="00C84849" w:rsidRDefault="00C84849" w:rsidP="00C84849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Соответствует</w:t>
      </w:r>
      <w:r w:rsidRPr="00855C64">
        <w:rPr>
          <w:b/>
          <w:sz w:val="28"/>
          <w:szCs w:val="28"/>
        </w:rPr>
        <w:t>:</w:t>
      </w:r>
    </w:p>
    <w:p w14:paraId="0D856C1B" w14:textId="574FF2FE" w:rsidR="00C84849" w:rsidRPr="00C84849" w:rsidRDefault="00C84849" w:rsidP="00C84849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навеска </w:t>
      </w:r>
      <w:r>
        <w:rPr>
          <w:b/>
          <w:sz w:val="28"/>
          <w:szCs w:val="28"/>
        </w:rPr>
        <w:t xml:space="preserve">неполностью растворимость </w:t>
      </w:r>
      <w:r>
        <w:rPr>
          <w:sz w:val="28"/>
          <w:szCs w:val="28"/>
        </w:rPr>
        <w:t xml:space="preserve"> в нижнем пределе и </w:t>
      </w:r>
      <w:r>
        <w:rPr>
          <w:b/>
          <w:sz w:val="28"/>
          <w:szCs w:val="28"/>
        </w:rPr>
        <w:t xml:space="preserve">растворилась </w:t>
      </w:r>
      <w:r>
        <w:rPr>
          <w:sz w:val="28"/>
          <w:szCs w:val="28"/>
        </w:rPr>
        <w:t>в верхнем пределе объема растворителя</w:t>
      </w:r>
      <w:r w:rsidRPr="00C84849">
        <w:rPr>
          <w:sz w:val="28"/>
          <w:szCs w:val="28"/>
        </w:rPr>
        <w:t>;</w:t>
      </w:r>
    </w:p>
    <w:p w14:paraId="01B351A6" w14:textId="3511BE32" w:rsidR="00C84849" w:rsidRDefault="00C84849" w:rsidP="00C84849">
      <w:pPr>
        <w:pStyle w:val="a5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Не соответствует</w:t>
      </w:r>
      <w:r>
        <w:rPr>
          <w:b/>
          <w:sz w:val="28"/>
          <w:szCs w:val="28"/>
          <w:lang w:val="en-US"/>
        </w:rPr>
        <w:t>:</w:t>
      </w:r>
    </w:p>
    <w:p w14:paraId="04BA5983" w14:textId="5BA375AE" w:rsidR="00C84849" w:rsidRPr="00C84849" w:rsidRDefault="00C84849" w:rsidP="00C84849">
      <w:pPr>
        <w:pStyle w:val="a5"/>
        <w:numPr>
          <w:ilvl w:val="0"/>
          <w:numId w:val="41"/>
        </w:num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навеска </w:t>
      </w:r>
      <w:r>
        <w:rPr>
          <w:b/>
          <w:sz w:val="28"/>
          <w:szCs w:val="28"/>
        </w:rPr>
        <w:t xml:space="preserve">растворилась в нижнем пределе </w:t>
      </w:r>
      <w:r>
        <w:rPr>
          <w:sz w:val="28"/>
          <w:szCs w:val="28"/>
        </w:rPr>
        <w:t>объема растворителя</w:t>
      </w:r>
      <w:r w:rsidRPr="00C84849">
        <w:rPr>
          <w:sz w:val="28"/>
          <w:szCs w:val="28"/>
        </w:rPr>
        <w:t>;</w:t>
      </w:r>
    </w:p>
    <w:p w14:paraId="52E5F98D" w14:textId="689A4AD2" w:rsidR="00855C64" w:rsidRDefault="00C84849" w:rsidP="00C84849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навеска </w:t>
      </w:r>
      <w:r>
        <w:rPr>
          <w:b/>
          <w:sz w:val="28"/>
          <w:szCs w:val="28"/>
        </w:rPr>
        <w:t xml:space="preserve">не растворилась в нижнем и верхнем пределе </w:t>
      </w:r>
      <w:r>
        <w:rPr>
          <w:sz w:val="28"/>
          <w:szCs w:val="28"/>
        </w:rPr>
        <w:t>объема растворителя</w:t>
      </w:r>
    </w:p>
    <w:p w14:paraId="2A430818" w14:textId="351D1EEB" w:rsidR="00C84849" w:rsidRPr="00855C64" w:rsidRDefault="00855C64" w:rsidP="00855C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7724E9" w14:textId="77777777" w:rsidR="007876DD" w:rsidRPr="007876DD" w:rsidRDefault="007876DD" w:rsidP="007876DD"/>
    <w:p w14:paraId="03644423" w14:textId="77777777" w:rsidR="00550F60" w:rsidRPr="00CA5976" w:rsidRDefault="00550F60" w:rsidP="00550F60">
      <w:pPr>
        <w:pStyle w:val="a5"/>
        <w:spacing w:line="360" w:lineRule="auto"/>
        <w:ind w:left="1069"/>
        <w:jc w:val="both"/>
      </w:pPr>
    </w:p>
    <w:p w14:paraId="7FE6F01F" w14:textId="77777777" w:rsidR="00CA5976" w:rsidRPr="00CA5976" w:rsidRDefault="00CA5976" w:rsidP="00CA5976"/>
    <w:p w14:paraId="3525A2E5" w14:textId="77777777" w:rsidR="00CA5976" w:rsidRPr="00CA5976" w:rsidRDefault="00CA5976" w:rsidP="00CA5976"/>
    <w:p w14:paraId="4F3A1AEE" w14:textId="2000FC51" w:rsidR="0031195C" w:rsidRDefault="0031195C" w:rsidP="00CA5976">
      <w:pPr>
        <w:rPr>
          <w:rFonts w:eastAsiaTheme="majorEastAsia"/>
          <w:sz w:val="32"/>
          <w:szCs w:val="32"/>
        </w:rPr>
      </w:pPr>
      <w:r>
        <w:br w:type="page"/>
      </w:r>
    </w:p>
    <w:p w14:paraId="7A053D71" w14:textId="114BC148" w:rsidR="00826CC9" w:rsidRPr="00914E78" w:rsidRDefault="00826CC9" w:rsidP="00855C64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0" w:name="_Toc135383647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10"/>
    </w:p>
    <w:p w14:paraId="7C3FFE37" w14:textId="77777777" w:rsidR="00855C64" w:rsidRDefault="00855C64" w:rsidP="00536571">
      <w:pPr>
        <w:spacing w:line="360" w:lineRule="auto"/>
        <w:ind w:firstLine="709"/>
        <w:jc w:val="both"/>
        <w:rPr>
          <w:sz w:val="28"/>
          <w:szCs w:val="28"/>
        </w:rPr>
      </w:pPr>
      <w:r w:rsidRPr="00855C64">
        <w:rPr>
          <w:sz w:val="28"/>
          <w:szCs w:val="28"/>
        </w:rPr>
        <w:t>Стандартные операционные процедуры играют основополагающую роль в непрерывном обеспечении качества и наилучшей практики в аптечной организации. Без них сегодня не может обойтись ни одна медицинская и аптечная организация.</w:t>
      </w:r>
    </w:p>
    <w:p w14:paraId="3AD20DD3" w14:textId="14FE8776" w:rsidR="00855C64" w:rsidRDefault="00855C64" w:rsidP="00855C64">
      <w:pPr>
        <w:spacing w:line="360" w:lineRule="auto"/>
        <w:ind w:firstLine="709"/>
        <w:jc w:val="both"/>
        <w:rPr>
          <w:sz w:val="28"/>
          <w:szCs w:val="28"/>
        </w:rPr>
      </w:pPr>
      <w:r w:rsidRPr="00855C64">
        <w:rPr>
          <w:sz w:val="28"/>
          <w:szCs w:val="28"/>
        </w:rPr>
        <w:t xml:space="preserve">Каждая аптека разрабатывает и утверждает свой собственный сборник стандартных операционных процедур. Поэтому нет единого шаблона или образца СОП для аптек. При разработке СОП для аптек нужно полагаться на правила, прописанные в законодательстве, а также отражать каждый шаг, который происходит в аптечной организации. Важно, чтобы процессы, описанные в </w:t>
      </w:r>
      <w:proofErr w:type="spellStart"/>
      <w:r w:rsidRPr="00855C64">
        <w:rPr>
          <w:sz w:val="28"/>
          <w:szCs w:val="28"/>
        </w:rPr>
        <w:t>СОПах</w:t>
      </w:r>
      <w:proofErr w:type="spellEnd"/>
      <w:r w:rsidRPr="00855C64">
        <w:rPr>
          <w:sz w:val="28"/>
          <w:szCs w:val="28"/>
        </w:rPr>
        <w:t xml:space="preserve">, как можно точнее отражали практику в аптеке, а вовлеченные сотрудники были обучены до вступления в силу </w:t>
      </w:r>
      <w:proofErr w:type="spellStart"/>
      <w:r w:rsidRPr="00855C64">
        <w:rPr>
          <w:sz w:val="28"/>
          <w:szCs w:val="28"/>
        </w:rPr>
        <w:t>СОПа</w:t>
      </w:r>
      <w:proofErr w:type="spellEnd"/>
      <w:r w:rsidRPr="00855C64">
        <w:rPr>
          <w:sz w:val="28"/>
          <w:szCs w:val="28"/>
        </w:rPr>
        <w:t xml:space="preserve">. Все члены аптечной команды ответственны за выполнение </w:t>
      </w:r>
      <w:proofErr w:type="spellStart"/>
      <w:r w:rsidRPr="00855C64">
        <w:rPr>
          <w:sz w:val="28"/>
          <w:szCs w:val="28"/>
        </w:rPr>
        <w:t>СОПов</w:t>
      </w:r>
      <w:proofErr w:type="spellEnd"/>
      <w:r w:rsidRPr="00855C64">
        <w:rPr>
          <w:sz w:val="28"/>
          <w:szCs w:val="28"/>
        </w:rPr>
        <w:t>, которые имеют отношение к их обязанностям. Если СОП составляет руководитель аптечной организации, то для эффективности следует включать сотрудников в их подготовку.</w:t>
      </w:r>
    </w:p>
    <w:p w14:paraId="1560C416" w14:textId="3C4F2CF3" w:rsidR="003A1605" w:rsidRDefault="00855C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7810CB" w14:textId="5DBE0335" w:rsidR="003A1605" w:rsidRPr="00914E78" w:rsidRDefault="003A1605" w:rsidP="00855C64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1" w:name="_Toc135383648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литературы</w:t>
      </w:r>
      <w:bookmarkEnd w:id="11"/>
    </w:p>
    <w:p w14:paraId="28CB100C" w14:textId="20B41089" w:rsidR="003A1605" w:rsidRP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[1] </w:t>
      </w:r>
      <w:proofErr w:type="spellStart"/>
      <w:r w:rsidR="00F12D55" w:rsidRPr="00F12D55">
        <w:rPr>
          <w:sz w:val="28"/>
          <w:szCs w:val="28"/>
        </w:rPr>
        <w:t>Линденбратен</w:t>
      </w:r>
      <w:proofErr w:type="spellEnd"/>
      <w:r w:rsidR="00F12D55" w:rsidRPr="00F12D55">
        <w:rPr>
          <w:sz w:val="28"/>
          <w:szCs w:val="28"/>
        </w:rPr>
        <w:t xml:space="preserve"> А.Л., </w:t>
      </w:r>
      <w:proofErr w:type="spellStart"/>
      <w:r w:rsidR="00F12D55" w:rsidRPr="00F12D55">
        <w:rPr>
          <w:sz w:val="28"/>
          <w:szCs w:val="28"/>
        </w:rPr>
        <w:t>Кондратова</w:t>
      </w:r>
      <w:proofErr w:type="spellEnd"/>
      <w:r w:rsidR="00F12D55" w:rsidRPr="00F12D55">
        <w:rPr>
          <w:sz w:val="28"/>
          <w:szCs w:val="28"/>
        </w:rPr>
        <w:t xml:space="preserve"> Н.В., Дубинин Н.Д. Возможности применения различных моделей стандартизации для улучшения качества медицинской деятельности. Здравоохранение. 2015; 11: </w:t>
      </w:r>
      <w:r w:rsidR="00855C64">
        <w:rPr>
          <w:sz w:val="28"/>
          <w:szCs w:val="28"/>
        </w:rPr>
        <w:t xml:space="preserve">С. </w:t>
      </w:r>
      <w:r w:rsidR="00F12D55" w:rsidRPr="00F12D55">
        <w:rPr>
          <w:sz w:val="28"/>
          <w:szCs w:val="28"/>
        </w:rPr>
        <w:t>74—81.</w:t>
      </w:r>
    </w:p>
    <w:p w14:paraId="11335469" w14:textId="323731F5" w:rsidR="003A1605" w:rsidRPr="003A1605" w:rsidRDefault="003A1605" w:rsidP="0099787B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[2] </w:t>
      </w:r>
      <w:proofErr w:type="spellStart"/>
      <w:r w:rsidR="00F12D55" w:rsidRPr="00F12D55">
        <w:rPr>
          <w:sz w:val="28"/>
          <w:szCs w:val="28"/>
        </w:rPr>
        <w:t>Линденбратен</w:t>
      </w:r>
      <w:proofErr w:type="spellEnd"/>
      <w:r w:rsidR="00F12D55" w:rsidRPr="00F12D55">
        <w:rPr>
          <w:sz w:val="28"/>
          <w:szCs w:val="28"/>
        </w:rPr>
        <w:t xml:space="preserve"> А.Л., </w:t>
      </w:r>
      <w:proofErr w:type="spellStart"/>
      <w:r w:rsidR="00F12D55" w:rsidRPr="00F12D55">
        <w:rPr>
          <w:sz w:val="28"/>
          <w:szCs w:val="28"/>
        </w:rPr>
        <w:t>Улумбекова</w:t>
      </w:r>
      <w:proofErr w:type="spellEnd"/>
      <w:r w:rsidR="00F12D55" w:rsidRPr="00F12D55">
        <w:rPr>
          <w:sz w:val="28"/>
          <w:szCs w:val="28"/>
        </w:rPr>
        <w:t xml:space="preserve"> Г.Э. Стандартизация и управление качеством медицинской помощи. Общественное здоровье и здравоохранение: Национальное руководство. 2013; </w:t>
      </w:r>
      <w:r w:rsidR="00855C64">
        <w:rPr>
          <w:sz w:val="28"/>
          <w:szCs w:val="28"/>
        </w:rPr>
        <w:t xml:space="preserve">С. </w:t>
      </w:r>
      <w:r w:rsidR="00F12D55" w:rsidRPr="00F12D55">
        <w:rPr>
          <w:sz w:val="28"/>
          <w:szCs w:val="28"/>
        </w:rPr>
        <w:t>451—467.</w:t>
      </w:r>
    </w:p>
    <w:p w14:paraId="5DB0095C" w14:textId="3793989E" w:rsidR="00376E5C" w:rsidRPr="003A1605" w:rsidRDefault="003A1605" w:rsidP="00376E5C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[3] </w:t>
      </w:r>
      <w:proofErr w:type="spellStart"/>
      <w:r w:rsidR="00F12D55" w:rsidRPr="00F12D55">
        <w:rPr>
          <w:sz w:val="28"/>
          <w:szCs w:val="28"/>
        </w:rPr>
        <w:t>Вялков</w:t>
      </w:r>
      <w:proofErr w:type="spellEnd"/>
      <w:r w:rsidR="00F12D55" w:rsidRPr="00F12D55">
        <w:rPr>
          <w:sz w:val="28"/>
          <w:szCs w:val="28"/>
        </w:rPr>
        <w:t xml:space="preserve"> А.И., Воробьев П.А., Сура М.В., Авксентьева М.В. Стандартные операционные процедуры (СОП) как один из элементов управления качеством медицинской помощи. Проблемы стандартизации в здравоохранении. 2005; 7: </w:t>
      </w:r>
      <w:r w:rsidR="00855C64">
        <w:rPr>
          <w:sz w:val="28"/>
          <w:szCs w:val="28"/>
        </w:rPr>
        <w:t xml:space="preserve">С. </w:t>
      </w:r>
      <w:r w:rsidR="00F12D55" w:rsidRPr="00F12D55">
        <w:rPr>
          <w:sz w:val="28"/>
          <w:szCs w:val="28"/>
        </w:rPr>
        <w:t>1—6.</w:t>
      </w:r>
    </w:p>
    <w:p w14:paraId="4FC343BA" w14:textId="2740B6FA" w:rsidR="00376E5C" w:rsidRPr="0099787B" w:rsidRDefault="003A1605" w:rsidP="00376E5C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[4] </w:t>
      </w:r>
      <w:r w:rsidR="00F12D55" w:rsidRPr="00F12D55">
        <w:rPr>
          <w:sz w:val="28"/>
          <w:szCs w:val="28"/>
        </w:rPr>
        <w:t>ГОСТ Р ИСО 9001-2008. «Система менеджмента качества «Требования». 65 с.</w:t>
      </w:r>
    </w:p>
    <w:p w14:paraId="611E174C" w14:textId="6366A0D5" w:rsidR="003A1605" w:rsidRPr="0099787B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[5] </w:t>
      </w:r>
      <w:r w:rsidR="00F12D55" w:rsidRPr="00F12D55">
        <w:rPr>
          <w:sz w:val="28"/>
          <w:szCs w:val="28"/>
        </w:rPr>
        <w:t xml:space="preserve">Мурашко М.А. Инновационные подходы к обеспечению качества в здравоохранении. Вестник Росздравнадзора. 2017; (6): </w:t>
      </w:r>
      <w:r w:rsidR="00855C64">
        <w:rPr>
          <w:sz w:val="28"/>
          <w:szCs w:val="28"/>
        </w:rPr>
        <w:t xml:space="preserve">С. </w:t>
      </w:r>
      <w:r w:rsidR="00F12D55" w:rsidRPr="00F12D55">
        <w:rPr>
          <w:sz w:val="28"/>
          <w:szCs w:val="28"/>
        </w:rPr>
        <w:t>5-9.</w:t>
      </w:r>
    </w:p>
    <w:p w14:paraId="6E56D25C" w14:textId="630B8B69" w:rsidR="000270B6" w:rsidRPr="00D95C76" w:rsidRDefault="000270B6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0270B6">
        <w:rPr>
          <w:sz w:val="28"/>
          <w:szCs w:val="28"/>
        </w:rPr>
        <w:t xml:space="preserve">[6] </w:t>
      </w:r>
      <w:r w:rsidR="007D1ECA" w:rsidRPr="007D1ECA">
        <w:rPr>
          <w:sz w:val="28"/>
          <w:szCs w:val="28"/>
        </w:rPr>
        <w:t>Гукасян А. / Всеобщая стандартизация // Российские аптеки - 2019г. - №1-2 - C. 48 - 56</w:t>
      </w:r>
    </w:p>
    <w:p w14:paraId="5F74165C" w14:textId="77777777" w:rsidR="008D02CD" w:rsidRPr="00855C64" w:rsidRDefault="00620C11" w:rsidP="008D02CD">
      <w:pPr>
        <w:spacing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 xml:space="preserve">[7] </w:t>
      </w:r>
      <w:r w:rsidR="008D02CD">
        <w:rPr>
          <w:sz w:val="28"/>
          <w:szCs w:val="28"/>
        </w:rPr>
        <w:t>ПРИКАЗ</w:t>
      </w:r>
      <w:r w:rsidR="008D02CD" w:rsidRPr="008D02CD">
        <w:rPr>
          <w:sz w:val="28"/>
          <w:szCs w:val="28"/>
        </w:rPr>
        <w:t xml:space="preserve"> </w:t>
      </w:r>
      <w:r w:rsidR="008D02CD">
        <w:rPr>
          <w:sz w:val="28"/>
          <w:szCs w:val="28"/>
        </w:rPr>
        <w:t>от 31 августа 2016 г. N 647н</w:t>
      </w:r>
      <w:r w:rsidR="008D02CD" w:rsidRPr="008D02CD">
        <w:rPr>
          <w:sz w:val="28"/>
          <w:szCs w:val="28"/>
        </w:rPr>
        <w:t xml:space="preserve"> ОБ УТВЕРЖДЕНИИ ПРАВИЛ НАДЛЕЖАЩЕЙ </w:t>
      </w:r>
      <w:r w:rsidR="008D02CD">
        <w:rPr>
          <w:sz w:val="28"/>
          <w:szCs w:val="28"/>
        </w:rPr>
        <w:t>АПТЕЧНОЙ ПРАКТИКИ ЛЕКАРСТВЕННЫХ</w:t>
      </w:r>
      <w:r w:rsidR="008D02CD" w:rsidRPr="008D02CD">
        <w:rPr>
          <w:sz w:val="28"/>
          <w:szCs w:val="28"/>
        </w:rPr>
        <w:t xml:space="preserve"> ПРЕПАРАТОВ ДЛЯ МЕДИЦИНСКОГО ПРИМЕНЕНИЯ </w:t>
      </w:r>
    </w:p>
    <w:p w14:paraId="21E3E5D8" w14:textId="67BB1D50" w:rsidR="00376E5C" w:rsidRPr="00376E5C" w:rsidRDefault="00D95C76" w:rsidP="008D02CD">
      <w:pPr>
        <w:spacing w:line="360" w:lineRule="auto"/>
        <w:ind w:firstLine="709"/>
        <w:jc w:val="both"/>
        <w:rPr>
          <w:sz w:val="28"/>
          <w:szCs w:val="28"/>
        </w:rPr>
      </w:pPr>
      <w:r w:rsidRPr="00D95C76">
        <w:rPr>
          <w:sz w:val="28"/>
          <w:szCs w:val="28"/>
        </w:rPr>
        <w:t xml:space="preserve">[8] </w:t>
      </w:r>
      <w:r w:rsidR="008D02CD" w:rsidRPr="008D02CD">
        <w:rPr>
          <w:sz w:val="28"/>
          <w:szCs w:val="28"/>
        </w:rPr>
        <w:t>Федеральный закон "О стандартизации в Российской Федерации" от 29.06.2015 N 162-ФЗ (последняя редакция)</w:t>
      </w:r>
    </w:p>
    <w:p w14:paraId="5597ECAF" w14:textId="72ADFE50" w:rsidR="00376E5C" w:rsidRPr="00873780" w:rsidRDefault="00C53E38" w:rsidP="008D02CD">
      <w:pPr>
        <w:spacing w:line="360" w:lineRule="auto"/>
        <w:ind w:firstLine="709"/>
        <w:jc w:val="both"/>
        <w:rPr>
          <w:sz w:val="28"/>
          <w:szCs w:val="28"/>
        </w:rPr>
      </w:pPr>
      <w:r w:rsidRPr="00873780">
        <w:rPr>
          <w:sz w:val="28"/>
          <w:szCs w:val="28"/>
        </w:rPr>
        <w:t>[9]</w:t>
      </w:r>
      <w:r w:rsidR="00873780">
        <w:rPr>
          <w:sz w:val="28"/>
          <w:szCs w:val="28"/>
        </w:rPr>
        <w:t xml:space="preserve"> </w:t>
      </w:r>
      <w:r w:rsidR="008D02CD" w:rsidRPr="008D02CD">
        <w:rPr>
          <w:sz w:val="28"/>
          <w:szCs w:val="28"/>
        </w:rPr>
        <w:t>Саушкина А. С. Ста</w:t>
      </w:r>
      <w:r w:rsidR="008D02CD">
        <w:rPr>
          <w:sz w:val="28"/>
          <w:szCs w:val="28"/>
        </w:rPr>
        <w:t xml:space="preserve">ндартные операционные процедуры </w:t>
      </w:r>
      <w:r w:rsidR="008D02CD" w:rsidRPr="008D02CD">
        <w:rPr>
          <w:sz w:val="28"/>
          <w:szCs w:val="28"/>
        </w:rPr>
        <w:t>методик фармацевтическог</w:t>
      </w:r>
      <w:r w:rsidR="008D02CD">
        <w:rPr>
          <w:sz w:val="28"/>
          <w:szCs w:val="28"/>
        </w:rPr>
        <w:t xml:space="preserve">о анализа : учебное пособие для </w:t>
      </w:r>
      <w:r w:rsidR="008D02CD" w:rsidRPr="008D02CD">
        <w:rPr>
          <w:sz w:val="28"/>
          <w:szCs w:val="28"/>
        </w:rPr>
        <w:t xml:space="preserve">вузов / А. С. Саушкина. — 4е </w:t>
      </w:r>
      <w:r w:rsidR="008D02CD">
        <w:rPr>
          <w:sz w:val="28"/>
          <w:szCs w:val="28"/>
        </w:rPr>
        <w:t xml:space="preserve">изд., стер. — Санкт-Петербург : </w:t>
      </w:r>
      <w:r w:rsidR="008D02CD" w:rsidRPr="008D02CD">
        <w:rPr>
          <w:sz w:val="28"/>
          <w:szCs w:val="28"/>
        </w:rPr>
        <w:t>Лань, 2020. — 132 с.</w:t>
      </w:r>
    </w:p>
    <w:p w14:paraId="27E5485E" w14:textId="3562C277" w:rsidR="00FE4D4D" w:rsidRPr="00FE4D4D" w:rsidRDefault="00FE4D4D" w:rsidP="003A1605">
      <w:pPr>
        <w:spacing w:line="360" w:lineRule="auto"/>
        <w:ind w:firstLine="709"/>
        <w:jc w:val="both"/>
        <w:rPr>
          <w:sz w:val="28"/>
          <w:szCs w:val="28"/>
        </w:rPr>
      </w:pPr>
    </w:p>
    <w:sectPr w:rsidR="00FE4D4D" w:rsidRPr="00FE4D4D" w:rsidSect="00826CC9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20244" w14:textId="77777777" w:rsidR="00A45F32" w:rsidRDefault="00A45F32" w:rsidP="00C532A3">
      <w:r>
        <w:separator/>
      </w:r>
    </w:p>
  </w:endnote>
  <w:endnote w:type="continuationSeparator" w:id="0">
    <w:p w14:paraId="0F3D6E3C" w14:textId="77777777" w:rsidR="00A45F32" w:rsidRDefault="00A45F32" w:rsidP="00C5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80582"/>
      <w:docPartObj>
        <w:docPartGallery w:val="Page Numbers (Bottom of Page)"/>
        <w:docPartUnique/>
      </w:docPartObj>
    </w:sdtPr>
    <w:sdtEndPr/>
    <w:sdtContent>
      <w:p w14:paraId="4067AB15" w14:textId="7DA96791" w:rsidR="00826CC9" w:rsidRDefault="00826C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1E">
          <w:rPr>
            <w:noProof/>
          </w:rPr>
          <w:t>3</w:t>
        </w:r>
        <w:r>
          <w:fldChar w:fldCharType="end"/>
        </w:r>
      </w:p>
    </w:sdtContent>
  </w:sdt>
  <w:p w14:paraId="5CF4E381" w14:textId="77777777" w:rsidR="00826CC9" w:rsidRDefault="00826C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73ADB" w14:textId="77777777" w:rsidR="00A45F32" w:rsidRDefault="00A45F32" w:rsidP="00C532A3">
      <w:r>
        <w:separator/>
      </w:r>
    </w:p>
  </w:footnote>
  <w:footnote w:type="continuationSeparator" w:id="0">
    <w:p w14:paraId="047A9730" w14:textId="77777777" w:rsidR="00A45F32" w:rsidRDefault="00A45F32" w:rsidP="00C5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132"/>
    <w:multiLevelType w:val="hybridMultilevel"/>
    <w:tmpl w:val="B290C0E6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11EC4"/>
    <w:multiLevelType w:val="hybridMultilevel"/>
    <w:tmpl w:val="F99A4E8C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564F2"/>
    <w:multiLevelType w:val="hybridMultilevel"/>
    <w:tmpl w:val="DF44B65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A3A"/>
    <w:multiLevelType w:val="hybridMultilevel"/>
    <w:tmpl w:val="67D2648E"/>
    <w:lvl w:ilvl="0" w:tplc="2696AE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332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4390E9C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4FF2312"/>
    <w:multiLevelType w:val="hybridMultilevel"/>
    <w:tmpl w:val="83AC05F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2347F"/>
    <w:multiLevelType w:val="hybridMultilevel"/>
    <w:tmpl w:val="02467D82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742B79"/>
    <w:multiLevelType w:val="hybridMultilevel"/>
    <w:tmpl w:val="0A5A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D3F99"/>
    <w:multiLevelType w:val="hybridMultilevel"/>
    <w:tmpl w:val="446A03D0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2F2630"/>
    <w:multiLevelType w:val="hybridMultilevel"/>
    <w:tmpl w:val="064A8690"/>
    <w:lvl w:ilvl="0" w:tplc="53F675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D8348D"/>
    <w:multiLevelType w:val="multilevel"/>
    <w:tmpl w:val="A44C96B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04C0A7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5930B1D"/>
    <w:multiLevelType w:val="hybridMultilevel"/>
    <w:tmpl w:val="C26C61BC"/>
    <w:lvl w:ilvl="0" w:tplc="3C0E48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195C51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B074371"/>
    <w:multiLevelType w:val="hybridMultilevel"/>
    <w:tmpl w:val="247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C43EC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DB7581D"/>
    <w:multiLevelType w:val="hybridMultilevel"/>
    <w:tmpl w:val="8C74DFAA"/>
    <w:lvl w:ilvl="0" w:tplc="26FC1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D812F4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FAA2E01"/>
    <w:multiLevelType w:val="multilevel"/>
    <w:tmpl w:val="3634BF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FE9091A"/>
    <w:multiLevelType w:val="hybridMultilevel"/>
    <w:tmpl w:val="6F625B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A36286"/>
    <w:multiLevelType w:val="hybridMultilevel"/>
    <w:tmpl w:val="FA04FAF2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B6402F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1B61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4C2643"/>
    <w:multiLevelType w:val="hybridMultilevel"/>
    <w:tmpl w:val="68E22A68"/>
    <w:lvl w:ilvl="0" w:tplc="64848F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831433D"/>
    <w:multiLevelType w:val="hybridMultilevel"/>
    <w:tmpl w:val="8960A402"/>
    <w:lvl w:ilvl="0" w:tplc="B7F81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78406C"/>
    <w:multiLevelType w:val="hybridMultilevel"/>
    <w:tmpl w:val="6FDCC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3776F9"/>
    <w:multiLevelType w:val="multilevel"/>
    <w:tmpl w:val="04D4B4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4AD63FE8"/>
    <w:multiLevelType w:val="hybridMultilevel"/>
    <w:tmpl w:val="AF7EFE20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42A97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F2876C5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5097799B"/>
    <w:multiLevelType w:val="hybridMultilevel"/>
    <w:tmpl w:val="14E27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A46648"/>
    <w:multiLevelType w:val="hybridMultilevel"/>
    <w:tmpl w:val="47C0F478"/>
    <w:lvl w:ilvl="0" w:tplc="B13A9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C0810"/>
    <w:multiLevelType w:val="hybridMultilevel"/>
    <w:tmpl w:val="D8D02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574C3F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5F587A98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05D1866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1E1405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8EE2E9A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6F2A5F65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15A5D38"/>
    <w:multiLevelType w:val="hybridMultilevel"/>
    <w:tmpl w:val="E87690CC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816C3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CEB087F"/>
    <w:multiLevelType w:val="hybridMultilevel"/>
    <w:tmpl w:val="2328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20"/>
  </w:num>
  <w:num w:numId="5">
    <w:abstractNumId w:val="24"/>
  </w:num>
  <w:num w:numId="6">
    <w:abstractNumId w:val="7"/>
  </w:num>
  <w:num w:numId="7">
    <w:abstractNumId w:val="29"/>
  </w:num>
  <w:num w:numId="8">
    <w:abstractNumId w:val="16"/>
  </w:num>
  <w:num w:numId="9">
    <w:abstractNumId w:val="0"/>
  </w:num>
  <w:num w:numId="10">
    <w:abstractNumId w:val="9"/>
  </w:num>
  <w:num w:numId="11">
    <w:abstractNumId w:val="28"/>
  </w:num>
  <w:num w:numId="12">
    <w:abstractNumId w:val="1"/>
  </w:num>
  <w:num w:numId="13">
    <w:abstractNumId w:val="40"/>
  </w:num>
  <w:num w:numId="14">
    <w:abstractNumId w:val="6"/>
  </w:num>
  <w:num w:numId="15">
    <w:abstractNumId w:val="21"/>
  </w:num>
  <w:num w:numId="16">
    <w:abstractNumId w:val="2"/>
  </w:num>
  <w:num w:numId="17">
    <w:abstractNumId w:val="42"/>
  </w:num>
  <w:num w:numId="18">
    <w:abstractNumId w:val="15"/>
  </w:num>
  <w:num w:numId="19">
    <w:abstractNumId w:val="18"/>
  </w:num>
  <w:num w:numId="20">
    <w:abstractNumId w:val="35"/>
  </w:num>
  <w:num w:numId="21">
    <w:abstractNumId w:val="22"/>
  </w:num>
  <w:num w:numId="22">
    <w:abstractNumId w:val="19"/>
  </w:num>
  <w:num w:numId="23">
    <w:abstractNumId w:val="8"/>
  </w:num>
  <w:num w:numId="24">
    <w:abstractNumId w:val="32"/>
  </w:num>
  <w:num w:numId="25">
    <w:abstractNumId w:val="5"/>
  </w:num>
  <w:num w:numId="26">
    <w:abstractNumId w:val="41"/>
  </w:num>
  <w:num w:numId="27">
    <w:abstractNumId w:val="14"/>
  </w:num>
  <w:num w:numId="28">
    <w:abstractNumId w:val="4"/>
  </w:num>
  <w:num w:numId="29">
    <w:abstractNumId w:val="12"/>
  </w:num>
  <w:num w:numId="30">
    <w:abstractNumId w:val="37"/>
  </w:num>
  <w:num w:numId="31">
    <w:abstractNumId w:val="36"/>
  </w:num>
  <w:num w:numId="32">
    <w:abstractNumId w:val="39"/>
  </w:num>
  <w:num w:numId="33">
    <w:abstractNumId w:val="30"/>
  </w:num>
  <w:num w:numId="34">
    <w:abstractNumId w:val="33"/>
  </w:num>
  <w:num w:numId="35">
    <w:abstractNumId w:val="26"/>
  </w:num>
  <w:num w:numId="36">
    <w:abstractNumId w:val="31"/>
  </w:num>
  <w:num w:numId="37">
    <w:abstractNumId w:val="23"/>
  </w:num>
  <w:num w:numId="38">
    <w:abstractNumId w:val="27"/>
  </w:num>
  <w:num w:numId="39">
    <w:abstractNumId w:val="10"/>
  </w:num>
  <w:num w:numId="40">
    <w:abstractNumId w:val="3"/>
  </w:num>
  <w:num w:numId="41">
    <w:abstractNumId w:val="25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22"/>
    <w:rsid w:val="0000446C"/>
    <w:rsid w:val="000270B6"/>
    <w:rsid w:val="00045592"/>
    <w:rsid w:val="000469C9"/>
    <w:rsid w:val="000471DA"/>
    <w:rsid w:val="0007038B"/>
    <w:rsid w:val="00090E32"/>
    <w:rsid w:val="000A1D90"/>
    <w:rsid w:val="000B6CF9"/>
    <w:rsid w:val="000C3160"/>
    <w:rsid w:val="001177BE"/>
    <w:rsid w:val="00121599"/>
    <w:rsid w:val="00137D01"/>
    <w:rsid w:val="00182C5B"/>
    <w:rsid w:val="001D3E31"/>
    <w:rsid w:val="00212E09"/>
    <w:rsid w:val="00227364"/>
    <w:rsid w:val="0027126F"/>
    <w:rsid w:val="00294D58"/>
    <w:rsid w:val="002E61A5"/>
    <w:rsid w:val="00305075"/>
    <w:rsid w:val="0031195C"/>
    <w:rsid w:val="003161F7"/>
    <w:rsid w:val="003310D8"/>
    <w:rsid w:val="00335340"/>
    <w:rsid w:val="00347E50"/>
    <w:rsid w:val="003666BE"/>
    <w:rsid w:val="00373FEB"/>
    <w:rsid w:val="00376E5C"/>
    <w:rsid w:val="003A1605"/>
    <w:rsid w:val="003A303C"/>
    <w:rsid w:val="003C3C2B"/>
    <w:rsid w:val="003C77BF"/>
    <w:rsid w:val="0045265F"/>
    <w:rsid w:val="00471219"/>
    <w:rsid w:val="0049742A"/>
    <w:rsid w:val="004A00F5"/>
    <w:rsid w:val="004A163B"/>
    <w:rsid w:val="004A7211"/>
    <w:rsid w:val="004B5619"/>
    <w:rsid w:val="0051036F"/>
    <w:rsid w:val="00536571"/>
    <w:rsid w:val="00550F60"/>
    <w:rsid w:val="00552C4A"/>
    <w:rsid w:val="005A50D7"/>
    <w:rsid w:val="005A5751"/>
    <w:rsid w:val="005E054C"/>
    <w:rsid w:val="005E4E14"/>
    <w:rsid w:val="00610FE3"/>
    <w:rsid w:val="00620C11"/>
    <w:rsid w:val="00627815"/>
    <w:rsid w:val="006560E5"/>
    <w:rsid w:val="00684BCD"/>
    <w:rsid w:val="006C27D1"/>
    <w:rsid w:val="006D382E"/>
    <w:rsid w:val="006D6065"/>
    <w:rsid w:val="006D7059"/>
    <w:rsid w:val="006E243F"/>
    <w:rsid w:val="007233C4"/>
    <w:rsid w:val="0075591E"/>
    <w:rsid w:val="007876DD"/>
    <w:rsid w:val="007B2F08"/>
    <w:rsid w:val="007B2F6C"/>
    <w:rsid w:val="007C158C"/>
    <w:rsid w:val="007C6D76"/>
    <w:rsid w:val="007D1ECA"/>
    <w:rsid w:val="00826CC9"/>
    <w:rsid w:val="00855C64"/>
    <w:rsid w:val="0086661D"/>
    <w:rsid w:val="00873780"/>
    <w:rsid w:val="00880415"/>
    <w:rsid w:val="008D02CD"/>
    <w:rsid w:val="008F15B0"/>
    <w:rsid w:val="008F2958"/>
    <w:rsid w:val="008F6193"/>
    <w:rsid w:val="00914E78"/>
    <w:rsid w:val="00916981"/>
    <w:rsid w:val="00937D84"/>
    <w:rsid w:val="0096311B"/>
    <w:rsid w:val="00973D9C"/>
    <w:rsid w:val="009826EA"/>
    <w:rsid w:val="0099713E"/>
    <w:rsid w:val="0099787B"/>
    <w:rsid w:val="009C67C7"/>
    <w:rsid w:val="009E0615"/>
    <w:rsid w:val="009E0969"/>
    <w:rsid w:val="009E7A65"/>
    <w:rsid w:val="00A45F32"/>
    <w:rsid w:val="00A6116C"/>
    <w:rsid w:val="00A94215"/>
    <w:rsid w:val="00AA221D"/>
    <w:rsid w:val="00AB171A"/>
    <w:rsid w:val="00AC471F"/>
    <w:rsid w:val="00AF5E16"/>
    <w:rsid w:val="00B661A1"/>
    <w:rsid w:val="00BA07CD"/>
    <w:rsid w:val="00BA5333"/>
    <w:rsid w:val="00BB1A58"/>
    <w:rsid w:val="00BB3304"/>
    <w:rsid w:val="00BD47EC"/>
    <w:rsid w:val="00BF53CE"/>
    <w:rsid w:val="00C116E8"/>
    <w:rsid w:val="00C423CB"/>
    <w:rsid w:val="00C532A3"/>
    <w:rsid w:val="00C53E38"/>
    <w:rsid w:val="00C84849"/>
    <w:rsid w:val="00CA3777"/>
    <w:rsid w:val="00CA5976"/>
    <w:rsid w:val="00CD208C"/>
    <w:rsid w:val="00CF5843"/>
    <w:rsid w:val="00D32754"/>
    <w:rsid w:val="00D8730E"/>
    <w:rsid w:val="00D95C76"/>
    <w:rsid w:val="00DA41AE"/>
    <w:rsid w:val="00DB121D"/>
    <w:rsid w:val="00DB56DE"/>
    <w:rsid w:val="00DB63D3"/>
    <w:rsid w:val="00DD5B9A"/>
    <w:rsid w:val="00DE1398"/>
    <w:rsid w:val="00DE4C9F"/>
    <w:rsid w:val="00E03039"/>
    <w:rsid w:val="00E114A1"/>
    <w:rsid w:val="00E44D8E"/>
    <w:rsid w:val="00E545EE"/>
    <w:rsid w:val="00ED3EB8"/>
    <w:rsid w:val="00ED4277"/>
    <w:rsid w:val="00ED6F21"/>
    <w:rsid w:val="00F11522"/>
    <w:rsid w:val="00F12D55"/>
    <w:rsid w:val="00F44E22"/>
    <w:rsid w:val="00F72300"/>
    <w:rsid w:val="00FB354E"/>
    <w:rsid w:val="00FB39CF"/>
    <w:rsid w:val="00FB765F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1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0303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039"/>
    <w:pPr>
      <w:spacing w:after="100"/>
    </w:pPr>
  </w:style>
  <w:style w:type="character" w:styleId="a4">
    <w:name w:val="Hyperlink"/>
    <w:basedOn w:val="a0"/>
    <w:uiPriority w:val="99"/>
    <w:unhideWhenUsed/>
    <w:rsid w:val="00E0303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44D8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2E09"/>
    <w:pPr>
      <w:ind w:left="720"/>
      <w:contextualSpacing/>
    </w:pPr>
  </w:style>
  <w:style w:type="table" w:styleId="a6">
    <w:name w:val="Table Grid"/>
    <w:basedOn w:val="a1"/>
    <w:uiPriority w:val="39"/>
    <w:rsid w:val="00FB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71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712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DB121D"/>
    <w:rPr>
      <w:color w:val="808080"/>
    </w:rPr>
  </w:style>
  <w:style w:type="paragraph" w:styleId="aa">
    <w:name w:val="header"/>
    <w:basedOn w:val="a"/>
    <w:link w:val="ab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B1A58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4A72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21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A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CA597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1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0303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039"/>
    <w:pPr>
      <w:spacing w:after="100"/>
    </w:pPr>
  </w:style>
  <w:style w:type="character" w:styleId="a4">
    <w:name w:val="Hyperlink"/>
    <w:basedOn w:val="a0"/>
    <w:uiPriority w:val="99"/>
    <w:unhideWhenUsed/>
    <w:rsid w:val="00E0303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44D8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2E09"/>
    <w:pPr>
      <w:ind w:left="720"/>
      <w:contextualSpacing/>
    </w:pPr>
  </w:style>
  <w:style w:type="table" w:styleId="a6">
    <w:name w:val="Table Grid"/>
    <w:basedOn w:val="a1"/>
    <w:uiPriority w:val="39"/>
    <w:rsid w:val="00FB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71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712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DB121D"/>
    <w:rPr>
      <w:color w:val="808080"/>
    </w:rPr>
  </w:style>
  <w:style w:type="paragraph" w:styleId="aa">
    <w:name w:val="header"/>
    <w:basedOn w:val="a"/>
    <w:link w:val="ab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B1A58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4A72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21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A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CA597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16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85750123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208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A046-DFAA-4B8F-AB9D-373AAE1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15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TheMrCtulhu TheMrCtulhu</dc:creator>
  <cp:keywords/>
  <dc:description/>
  <cp:lastModifiedBy>Роман К. Кунц</cp:lastModifiedBy>
  <cp:revision>40</cp:revision>
  <dcterms:created xsi:type="dcterms:W3CDTF">2021-11-01T06:10:00Z</dcterms:created>
  <dcterms:modified xsi:type="dcterms:W3CDTF">2023-05-19T03:14:00Z</dcterms:modified>
</cp:coreProperties>
</file>