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C5" w:rsidRDefault="00DF3DCA" w:rsidP="00DF3DCA">
      <w:pPr>
        <w:ind w:left="-709"/>
        <w:jc w:val="center"/>
      </w:pPr>
      <w:r>
        <w:rPr>
          <w:noProof/>
          <w:lang w:eastAsia="ru-RU"/>
        </w:rPr>
        <w:drawing>
          <wp:inline distT="0" distB="0" distL="0" distR="0" wp14:anchorId="70499EC3" wp14:editId="46AD6B6F">
            <wp:extent cx="6888480" cy="4602749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2362" cy="460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DCA" w:rsidRPr="00DF3DCA" w:rsidRDefault="00DF3DCA" w:rsidP="00DF3DCA">
      <w:pPr>
        <w:spacing w:after="0"/>
        <w:rPr>
          <w:color w:val="548DD4" w:themeColor="text2" w:themeTint="99"/>
          <w:sz w:val="32"/>
        </w:rPr>
      </w:pPr>
      <w:r w:rsidRPr="00B877D6">
        <w:rPr>
          <w:color w:val="548DD4" w:themeColor="text2" w:themeTint="99"/>
          <w:sz w:val="28"/>
        </w:rPr>
        <w:t>Синовиальная жидкость – часть 2: лабораторная оценка</w:t>
      </w:r>
    </w:p>
    <w:p w:rsidR="00DF3DCA" w:rsidRDefault="00DF3DCA" w:rsidP="00DF3DCA">
      <w:pPr>
        <w:spacing w:after="0"/>
        <w:jc w:val="both"/>
        <w:rPr>
          <w:sz w:val="24"/>
        </w:rPr>
        <w:sectPr w:rsidR="00DF3DCA" w:rsidSect="00C960A2"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p w:rsidR="000F4AF8" w:rsidRPr="00B877D6" w:rsidRDefault="00DF3DCA" w:rsidP="0011415D">
      <w:pPr>
        <w:spacing w:after="0"/>
        <w:ind w:left="142" w:right="-72"/>
        <w:jc w:val="both"/>
      </w:pPr>
      <w:r w:rsidRPr="00B877D6">
        <w:lastRenderedPageBreak/>
        <w:t xml:space="preserve">В первой части статьи </w:t>
      </w:r>
      <w:r w:rsidRPr="00B877D6">
        <w:rPr>
          <w:lang w:val="en-US"/>
        </w:rPr>
        <w:t>SEED</w:t>
      </w:r>
      <w:r w:rsidRPr="00B877D6">
        <w:t xml:space="preserve"> о синовиальной жидкости были описаны анатомия и состав синовиальной жидкости, показания для проведения анализа, а также несколько полезных советов по сбору образцов и обращению с ними. Во второй части описываются общие лабораторные анализы.</w:t>
      </w:r>
      <w:r w:rsidR="000F4AF8" w:rsidRPr="00B877D6">
        <w:t xml:space="preserve"> </w:t>
      </w:r>
    </w:p>
    <w:p w:rsidR="000F4AF8" w:rsidRDefault="000F4AF8" w:rsidP="0011415D">
      <w:pPr>
        <w:spacing w:after="0"/>
        <w:ind w:left="142" w:right="-72"/>
        <w:jc w:val="both"/>
        <w:rPr>
          <w:sz w:val="24"/>
        </w:rPr>
      </w:pPr>
    </w:p>
    <w:p w:rsidR="000F4AF8" w:rsidRPr="00B877D6" w:rsidRDefault="000F4AF8" w:rsidP="0011415D">
      <w:pPr>
        <w:spacing w:after="0"/>
        <w:ind w:left="142" w:right="-72"/>
        <w:jc w:val="both"/>
        <w:rPr>
          <w:b/>
          <w:color w:val="548DD4" w:themeColor="text2" w:themeTint="99"/>
          <w:sz w:val="24"/>
        </w:rPr>
      </w:pPr>
      <w:r w:rsidRPr="00B877D6">
        <w:rPr>
          <w:b/>
          <w:color w:val="548DD4" w:themeColor="text2" w:themeTint="99"/>
          <w:sz w:val="24"/>
        </w:rPr>
        <w:t>Лабораторная оценка</w:t>
      </w:r>
    </w:p>
    <w:p w:rsidR="000F4AF8" w:rsidRPr="00B877D6" w:rsidRDefault="000F4AF8" w:rsidP="0011415D">
      <w:pPr>
        <w:spacing w:after="0"/>
        <w:ind w:left="142" w:right="-72"/>
        <w:jc w:val="both"/>
      </w:pPr>
      <w:r w:rsidRPr="00B877D6">
        <w:t>Подобно обработке других образцов жидкости организма, обычная лабораторная оценка синовиальной жидкости включает следующие этапы:</w:t>
      </w:r>
    </w:p>
    <w:p w:rsidR="000F4AF8" w:rsidRDefault="000F4AF8" w:rsidP="0011415D">
      <w:pPr>
        <w:spacing w:after="0"/>
        <w:ind w:left="142" w:right="-72"/>
        <w:jc w:val="both"/>
        <w:rPr>
          <w:sz w:val="24"/>
        </w:rPr>
      </w:pPr>
    </w:p>
    <w:p w:rsidR="000F4AF8" w:rsidRPr="00B877D6" w:rsidRDefault="000F4AF8" w:rsidP="00377821">
      <w:pPr>
        <w:shd w:val="clear" w:color="auto" w:fill="DBE5F1" w:themeFill="accent1" w:themeFillTint="33"/>
        <w:spacing w:after="0"/>
        <w:ind w:left="142" w:right="-72"/>
        <w:jc w:val="both"/>
      </w:pPr>
      <w:r w:rsidRPr="00B877D6">
        <w:t>1. Физическое исследование</w:t>
      </w:r>
    </w:p>
    <w:p w:rsidR="000F4AF8" w:rsidRPr="00B877D6" w:rsidRDefault="000F4AF8" w:rsidP="00377821">
      <w:pPr>
        <w:shd w:val="clear" w:color="auto" w:fill="DBE5F1" w:themeFill="accent1" w:themeFillTint="33"/>
        <w:spacing w:after="0"/>
        <w:ind w:left="142" w:right="-72"/>
        <w:jc w:val="both"/>
      </w:pPr>
      <w:r w:rsidRPr="00B877D6">
        <w:t>2. Клеточный анализ - автоматизированный или микроскопический</w:t>
      </w:r>
    </w:p>
    <w:p w:rsidR="000F4AF8" w:rsidRPr="00B877D6" w:rsidRDefault="000F4AF8" w:rsidP="00377821">
      <w:pPr>
        <w:shd w:val="clear" w:color="auto" w:fill="DBE5F1" w:themeFill="accent1" w:themeFillTint="33"/>
        <w:spacing w:after="0"/>
        <w:ind w:left="142" w:right="-72"/>
        <w:jc w:val="both"/>
      </w:pPr>
      <w:r w:rsidRPr="00B877D6">
        <w:t>3. Химический анализ</w:t>
      </w:r>
    </w:p>
    <w:p w:rsidR="000F4AF8" w:rsidRPr="00B877D6" w:rsidRDefault="000F4AF8" w:rsidP="00377821">
      <w:pPr>
        <w:shd w:val="clear" w:color="auto" w:fill="DBE5F1" w:themeFill="accent1" w:themeFillTint="33"/>
        <w:spacing w:after="0"/>
        <w:ind w:left="142" w:right="-72"/>
        <w:jc w:val="both"/>
      </w:pPr>
      <w:r w:rsidRPr="00B877D6">
        <w:t>4. Микробиологические тесты</w:t>
      </w:r>
    </w:p>
    <w:p w:rsidR="000F4AF8" w:rsidRPr="00B877D6" w:rsidRDefault="000F4AF8" w:rsidP="00377821">
      <w:pPr>
        <w:shd w:val="clear" w:color="auto" w:fill="DBE5F1" w:themeFill="accent1" w:themeFillTint="33"/>
        <w:spacing w:after="0"/>
        <w:ind w:left="142" w:right="-72"/>
        <w:jc w:val="both"/>
      </w:pPr>
      <w:r w:rsidRPr="00B877D6">
        <w:t>5. Серологические тесты</w:t>
      </w:r>
    </w:p>
    <w:p w:rsidR="000F4AF8" w:rsidRDefault="000F4AF8" w:rsidP="0011415D">
      <w:pPr>
        <w:spacing w:after="0"/>
        <w:ind w:left="142" w:right="-72"/>
        <w:jc w:val="both"/>
        <w:rPr>
          <w:sz w:val="24"/>
        </w:rPr>
      </w:pPr>
    </w:p>
    <w:p w:rsidR="000F4AF8" w:rsidRPr="00B877D6" w:rsidRDefault="00B877D6" w:rsidP="0011415D">
      <w:pPr>
        <w:pStyle w:val="a5"/>
        <w:spacing w:after="0"/>
        <w:ind w:left="142" w:right="-72"/>
        <w:jc w:val="both"/>
        <w:rPr>
          <w:b/>
          <w:color w:val="548DD4" w:themeColor="text2" w:themeTint="99"/>
        </w:rPr>
      </w:pPr>
      <w:r w:rsidRPr="00B877D6">
        <w:rPr>
          <w:b/>
          <w:color w:val="548DD4" w:themeColor="text2" w:themeTint="99"/>
        </w:rPr>
        <w:t xml:space="preserve">1. </w:t>
      </w:r>
      <w:r w:rsidR="000F4AF8" w:rsidRPr="00B877D6">
        <w:rPr>
          <w:b/>
          <w:color w:val="548DD4" w:themeColor="text2" w:themeTint="99"/>
        </w:rPr>
        <w:t>Физическое исследование</w:t>
      </w:r>
    </w:p>
    <w:p w:rsidR="00900C49" w:rsidRDefault="00B877D6" w:rsidP="0011415D">
      <w:pPr>
        <w:spacing w:after="0"/>
        <w:ind w:left="142" w:right="-72"/>
        <w:jc w:val="both"/>
        <w:rPr>
          <w:b/>
        </w:rPr>
      </w:pPr>
      <w:r w:rsidRPr="00B877D6">
        <w:rPr>
          <w:b/>
        </w:rPr>
        <w:t>Цвет и прозрачность</w:t>
      </w:r>
      <w:r w:rsidR="00900C49">
        <w:rPr>
          <w:b/>
        </w:rPr>
        <w:t xml:space="preserve"> </w:t>
      </w:r>
    </w:p>
    <w:p w:rsidR="00B877D6" w:rsidRPr="00900C49" w:rsidRDefault="00B877D6" w:rsidP="0011415D">
      <w:pPr>
        <w:spacing w:after="0"/>
        <w:ind w:left="142" w:right="-72"/>
        <w:jc w:val="both"/>
        <w:rPr>
          <w:b/>
        </w:rPr>
      </w:pPr>
      <w:r w:rsidRPr="00B877D6">
        <w:t xml:space="preserve">Отчет об общем виде - важная часть анализа синовиальной жидкости. Нормальная </w:t>
      </w:r>
      <w:r w:rsidRPr="00B877D6">
        <w:lastRenderedPageBreak/>
        <w:t xml:space="preserve">синовиальная жидкость кажется </w:t>
      </w:r>
      <w:proofErr w:type="gramStart"/>
      <w:r w:rsidRPr="00B877D6">
        <w:t>прозрачной</w:t>
      </w:r>
      <w:proofErr w:type="gramEnd"/>
      <w:r>
        <w:t>,</w:t>
      </w:r>
      <w:r w:rsidRPr="00B877D6">
        <w:t xml:space="preserve"> от бесцветной до бледно-желтой (рис. 1 слева). Цвет становится более темно-желтым в присутствии </w:t>
      </w:r>
      <w:r w:rsidR="00333B40" w:rsidRPr="00B877D6">
        <w:t>не воспалительных</w:t>
      </w:r>
      <w:r w:rsidRPr="00B877D6">
        <w:t xml:space="preserve"> выпотов (рис. 1 в центре изображения) и может иметь зеленоватый оттенок при бактериальной </w:t>
      </w:r>
      <w:r w:rsidRPr="00900C49">
        <w:t>инфекции (рис. 1 правое изображение).</w:t>
      </w:r>
    </w:p>
    <w:p w:rsidR="00B877D6" w:rsidRPr="00900C49" w:rsidRDefault="00B877D6" w:rsidP="0011415D">
      <w:pPr>
        <w:spacing w:after="0"/>
        <w:ind w:left="142" w:right="-72"/>
        <w:jc w:val="both"/>
      </w:pPr>
    </w:p>
    <w:p w:rsidR="0011415D" w:rsidRDefault="00900C49" w:rsidP="0011415D">
      <w:pPr>
        <w:spacing w:after="0"/>
        <w:ind w:left="142" w:right="-72"/>
        <w:jc w:val="both"/>
      </w:pPr>
      <w:r w:rsidRPr="00900C49">
        <w:t xml:space="preserve">Если </w:t>
      </w:r>
      <w:r>
        <w:t>присутствует кровь</w:t>
      </w:r>
      <w:r w:rsidRPr="00900C49">
        <w:t xml:space="preserve">, цвет </w:t>
      </w:r>
      <w:r>
        <w:t>изменяется</w:t>
      </w:r>
      <w:r w:rsidRPr="00900C49">
        <w:t xml:space="preserve"> от красного </w:t>
      </w:r>
      <w:proofErr w:type="gramStart"/>
      <w:r w:rsidRPr="00900C49">
        <w:t>до</w:t>
      </w:r>
      <w:proofErr w:type="gramEnd"/>
      <w:r w:rsidRPr="00900C49">
        <w:t xml:space="preserve"> коричневого или </w:t>
      </w:r>
      <w:proofErr w:type="spellStart"/>
      <w:r w:rsidRPr="00900C49">
        <w:t>ксантохромного</w:t>
      </w:r>
      <w:proofErr w:type="spellEnd"/>
      <w:r w:rsidRPr="00900C49">
        <w:t xml:space="preserve">. Следует </w:t>
      </w:r>
      <w:r w:rsidR="005701C7">
        <w:t>отличать</w:t>
      </w:r>
      <w:r w:rsidRPr="00900C49">
        <w:t xml:space="preserve"> кровь, </w:t>
      </w:r>
      <w:r>
        <w:t xml:space="preserve">являющуюся </w:t>
      </w:r>
      <w:r w:rsidR="005701C7">
        <w:t xml:space="preserve">следствием </w:t>
      </w:r>
      <w:r w:rsidRPr="00900C49">
        <w:t>геморрагического артрита</w:t>
      </w:r>
      <w:r w:rsidR="00C960A2">
        <w:t xml:space="preserve"> от</w:t>
      </w:r>
      <w:r w:rsidRPr="00900C49">
        <w:t xml:space="preserve"> травматической аспирации. Это достигается в первую очередь путем наблюдения за неравномерным распределением крови, типичным для образцов, полученных при травматической аспирации.</w:t>
      </w:r>
      <w:r w:rsidR="0011415D">
        <w:t xml:space="preserve"> </w:t>
      </w:r>
    </w:p>
    <w:p w:rsidR="0011415D" w:rsidRDefault="0011415D" w:rsidP="0011415D">
      <w:pPr>
        <w:spacing w:after="0"/>
        <w:ind w:left="142" w:right="-72"/>
        <w:jc w:val="both"/>
      </w:pPr>
    </w:p>
    <w:p w:rsidR="00900C49" w:rsidRDefault="00900C49" w:rsidP="0011415D">
      <w:pPr>
        <w:spacing w:after="0"/>
        <w:ind w:left="142" w:right="-72"/>
        <w:jc w:val="both"/>
      </w:pPr>
      <w:r w:rsidRPr="00900C49">
        <w:t xml:space="preserve">Мутность - </w:t>
      </w:r>
      <w:r w:rsidR="00C960A2">
        <w:t>хороший</w:t>
      </w:r>
      <w:r w:rsidRPr="00900C49">
        <w:t xml:space="preserve"> индикатор воспалительных состояний. Мутно-желтые образцы указывают на воспаление, в основном из-за наличия лейкоцитов (WBC); однако остатки синовиальных клеток и фибрин также вызывают помутнение. При наличии кристаллов жидкость может казаться беловатой и молочной.</w:t>
      </w:r>
    </w:p>
    <w:p w:rsidR="00C960A2" w:rsidRDefault="00C960A2" w:rsidP="00900C49">
      <w:pPr>
        <w:spacing w:after="0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364B560E" wp14:editId="033131E7">
            <wp:extent cx="3055620" cy="1460696"/>
            <wp:effectExtent l="19050" t="19050" r="11430" b="254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5204" cy="147005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960A2" w:rsidRDefault="00C960A2" w:rsidP="00900C49">
      <w:pPr>
        <w:spacing w:after="0"/>
        <w:jc w:val="both"/>
      </w:pPr>
      <w:r>
        <w:t>Рис. 1 Внешний вид синовиальной (или суставной) жидкости</w:t>
      </w:r>
    </w:p>
    <w:p w:rsidR="0011415D" w:rsidRDefault="0011415D" w:rsidP="00900C49">
      <w:pPr>
        <w:spacing w:after="0"/>
        <w:jc w:val="both"/>
      </w:pPr>
    </w:p>
    <w:p w:rsidR="00C960A2" w:rsidRPr="0011415D" w:rsidRDefault="0011415D" w:rsidP="00900C49">
      <w:pPr>
        <w:spacing w:after="0"/>
        <w:jc w:val="both"/>
        <w:rPr>
          <w:b/>
        </w:rPr>
      </w:pPr>
      <w:r w:rsidRPr="0011415D">
        <w:rPr>
          <w:b/>
        </w:rPr>
        <w:t>Вязкость</w:t>
      </w:r>
    </w:p>
    <w:p w:rsidR="0011415D" w:rsidRDefault="0011415D" w:rsidP="00900C49">
      <w:pPr>
        <w:spacing w:after="0"/>
        <w:jc w:val="both"/>
      </w:pPr>
      <w:r w:rsidRPr="0011415D">
        <w:t xml:space="preserve">Вязкость синовиальной жидкости обусловлена полимеризацией </w:t>
      </w:r>
      <w:proofErr w:type="spellStart"/>
      <w:r w:rsidRPr="0011415D">
        <w:t>гиалуроновой</w:t>
      </w:r>
      <w:proofErr w:type="spellEnd"/>
      <w:r w:rsidRPr="0011415D">
        <w:t xml:space="preserve"> кислоты и необходима для правильной смазки суставов. Артрит влияет как на выработку </w:t>
      </w:r>
      <w:proofErr w:type="spellStart"/>
      <w:r w:rsidRPr="0011415D">
        <w:t>гиалуроновой</w:t>
      </w:r>
      <w:proofErr w:type="spellEnd"/>
      <w:r w:rsidRPr="0011415D">
        <w:t xml:space="preserve"> кислоты, так и на ее способность к полимеризации, что снижает вязкость </w:t>
      </w:r>
      <w:r>
        <w:t xml:space="preserve">синовиальной </w:t>
      </w:r>
      <w:r w:rsidRPr="0011415D">
        <w:t xml:space="preserve">жидкости. Доступно несколько методов для измерения вязкости жидкости. Самый простой - это наблюдать за способностью жидкости образовывать нить из кончика шприца, </w:t>
      </w:r>
      <w:r>
        <w:t>это исследование</w:t>
      </w:r>
      <w:r w:rsidRPr="0011415D">
        <w:t xml:space="preserve">, которое можно провести у постели больного. Нормальной считается </w:t>
      </w:r>
      <w:r>
        <w:t>нить</w:t>
      </w:r>
      <w:r w:rsidRPr="0011415D">
        <w:t xml:space="preserve"> длиной 4-6 см.</w:t>
      </w:r>
    </w:p>
    <w:p w:rsidR="0011415D" w:rsidRDefault="0011415D" w:rsidP="00900C49">
      <w:pPr>
        <w:spacing w:after="0"/>
        <w:jc w:val="both"/>
      </w:pPr>
    </w:p>
    <w:p w:rsidR="0011415D" w:rsidRDefault="0011415D" w:rsidP="00900C49">
      <w:pPr>
        <w:spacing w:after="0"/>
        <w:jc w:val="both"/>
      </w:pPr>
      <w:r w:rsidRPr="00156525">
        <w:t>Полуколичественное измерение осаждения может быть выполнено с использованием теста на сгусток муцина, также известного как «тест веревки».</w:t>
      </w:r>
      <w:r w:rsidRPr="0011415D">
        <w:t xml:space="preserve"> При добавлении к раствору 2–5% уксусной кислоты</w:t>
      </w:r>
      <w:r w:rsidR="00377821">
        <w:t>,</w:t>
      </w:r>
      <w:r w:rsidRPr="0011415D">
        <w:t xml:space="preserve"> нормальная син</w:t>
      </w:r>
      <w:bookmarkStart w:id="0" w:name="_GoBack"/>
      <w:bookmarkEnd w:id="0"/>
      <w:r w:rsidRPr="0011415D">
        <w:t xml:space="preserve">овиальная жидкость образует твердый сгусток, окруженный прозрачной жидкостью. По мере того, как способность </w:t>
      </w:r>
      <w:proofErr w:type="spellStart"/>
      <w:r w:rsidRPr="0011415D">
        <w:t>гиалуроновой</w:t>
      </w:r>
      <w:proofErr w:type="spellEnd"/>
      <w:r w:rsidRPr="0011415D">
        <w:t xml:space="preserve"> кислоты к полимеризации снижается, сгусток становится менее твердым, а окружающая жидкость становится мутной. </w:t>
      </w:r>
      <w:proofErr w:type="gramStart"/>
      <w:r w:rsidRPr="0011415D">
        <w:t xml:space="preserve">Тест на образование </w:t>
      </w:r>
      <w:proofErr w:type="spellStart"/>
      <w:r w:rsidRPr="0011415D">
        <w:t>муцинового</w:t>
      </w:r>
      <w:proofErr w:type="spellEnd"/>
      <w:r w:rsidRPr="0011415D">
        <w:t xml:space="preserve"> сгустка оценивается как «хороший» (твердый сгусток), «удовлетворительный» (мягкий сгусток), «низкий» (рыхлый сгусток) и «плохой» (без сгустка).</w:t>
      </w:r>
      <w:proofErr w:type="gramEnd"/>
      <w:r w:rsidRPr="0011415D">
        <w:t xml:space="preserve"> Тест на сгусток муцина больше не проводится, потому что все формы артрита снижают вязкость</w:t>
      </w:r>
      <w:r w:rsidR="00377821">
        <w:t xml:space="preserve">, что дает </w:t>
      </w:r>
      <w:r w:rsidRPr="0011415D">
        <w:t>мало диагностической информации. Образование сгустка муцина после добавления уксусной кислоты может быть использовано для идентификации сомнительной жидкости как синовиальной</w:t>
      </w:r>
      <w:r w:rsidR="00377821">
        <w:t>.</w:t>
      </w:r>
    </w:p>
    <w:p w:rsidR="00377821" w:rsidRDefault="00377821" w:rsidP="00900C49">
      <w:pPr>
        <w:spacing w:after="0"/>
        <w:jc w:val="both"/>
      </w:pPr>
    </w:p>
    <w:p w:rsidR="00377821" w:rsidRDefault="00377821" w:rsidP="00900C49">
      <w:pPr>
        <w:spacing w:after="0"/>
        <w:jc w:val="both"/>
      </w:pPr>
      <w:r w:rsidRPr="00377821">
        <w:lastRenderedPageBreak/>
        <w:t xml:space="preserve">Очень вязкие жидкости могут нуждаться в предварительной обработке для дальнейшего анализа, </w:t>
      </w:r>
      <w:r>
        <w:t xml:space="preserve">для этого к 1 мл жидкости добавляют  </w:t>
      </w:r>
      <w:r w:rsidRPr="00377821">
        <w:t xml:space="preserve">400 единиц фермента </w:t>
      </w:r>
      <w:proofErr w:type="spellStart"/>
      <w:r w:rsidRPr="00377821">
        <w:t>гиалуронидазы</w:t>
      </w:r>
      <w:proofErr w:type="spellEnd"/>
      <w:r w:rsidRPr="00377821">
        <w:t xml:space="preserve"> и инкубиру</w:t>
      </w:r>
      <w:r>
        <w:t>ют смесь при 37</w:t>
      </w:r>
      <w:r w:rsidRPr="00377821">
        <w:t>°C в течение 10 минут [1].</w:t>
      </w:r>
      <w:r w:rsidR="00251F58">
        <w:t xml:space="preserve"> </w:t>
      </w:r>
    </w:p>
    <w:p w:rsidR="00251F58" w:rsidRDefault="00251F58" w:rsidP="00900C49">
      <w:pPr>
        <w:spacing w:after="0"/>
        <w:jc w:val="both"/>
      </w:pPr>
    </w:p>
    <w:p w:rsidR="00251F58" w:rsidRPr="00251F58" w:rsidRDefault="00251F58" w:rsidP="00900C49">
      <w:pPr>
        <w:spacing w:after="0"/>
        <w:jc w:val="both"/>
        <w:rPr>
          <w:b/>
        </w:rPr>
      </w:pPr>
      <w:r w:rsidRPr="00251F58">
        <w:rPr>
          <w:b/>
          <w:color w:val="548DD4" w:themeColor="text2" w:themeTint="99"/>
        </w:rPr>
        <w:t>2. Клеточный анализ</w:t>
      </w:r>
    </w:p>
    <w:p w:rsidR="00251F58" w:rsidRDefault="00251F58" w:rsidP="00900C49">
      <w:pPr>
        <w:spacing w:after="0"/>
        <w:jc w:val="both"/>
        <w:rPr>
          <w:b/>
        </w:rPr>
      </w:pPr>
      <w:r w:rsidRPr="00251F58">
        <w:rPr>
          <w:b/>
        </w:rPr>
        <w:t>Подсчет клеток</w:t>
      </w:r>
    </w:p>
    <w:p w:rsidR="00251F58" w:rsidRDefault="00251F58" w:rsidP="00251F58">
      <w:pPr>
        <w:spacing w:after="0"/>
        <w:jc w:val="both"/>
      </w:pPr>
      <w:r>
        <w:t xml:space="preserve">Для подсчета клеток образец следует подвергнуть </w:t>
      </w:r>
      <w:proofErr w:type="spellStart"/>
      <w:r>
        <w:t>антикоагуляции</w:t>
      </w:r>
      <w:proofErr w:type="spellEnd"/>
      <w:r>
        <w:t xml:space="preserve">, используя гепарин или ЭДТА. Общий подсчет лейкоцитов </w:t>
      </w:r>
      <w:r w:rsidRPr="00251F58">
        <w:t>(</w:t>
      </w:r>
      <w:r>
        <w:rPr>
          <w:lang w:val="en-US"/>
        </w:rPr>
        <w:t>WBC</w:t>
      </w:r>
      <w:r w:rsidRPr="00251F58">
        <w:t>)</w:t>
      </w:r>
      <w:r>
        <w:t xml:space="preserve"> - это наиболее часто выполняемый подсчет клеток в синовиальной жидкости. Подсчет эритроцитов (</w:t>
      </w:r>
      <w:r>
        <w:rPr>
          <w:lang w:val="en-US"/>
        </w:rPr>
        <w:t>RBC</w:t>
      </w:r>
      <w:r>
        <w:t xml:space="preserve">) запрашивается не часто. </w:t>
      </w:r>
      <w:r w:rsidR="00A5615D">
        <w:t xml:space="preserve">Согласно литературным данным, </w:t>
      </w:r>
      <w:r>
        <w:t xml:space="preserve">обычно общее количество </w:t>
      </w:r>
      <w:r w:rsidR="008652F1">
        <w:rPr>
          <w:lang w:val="en-US"/>
        </w:rPr>
        <w:t>WBC</w:t>
      </w:r>
      <w:r>
        <w:t xml:space="preserve"> со временем уменьшается, что может привести к ошибочным результатам, препятствующим постановке правильного диагноза пациенту [2]. Поэтому</w:t>
      </w:r>
      <w:r w:rsidR="00A5615D">
        <w:t>,</w:t>
      </w:r>
      <w:r>
        <w:t xml:space="preserve"> крайне важно проводить эти анализы без промедления</w:t>
      </w:r>
      <w:r w:rsidR="00A5615D">
        <w:t>, сразу</w:t>
      </w:r>
      <w:r>
        <w:t xml:space="preserve"> после получения образцов. В</w:t>
      </w:r>
      <w:r w:rsidR="00A5615D">
        <w:t xml:space="preserve"> </w:t>
      </w:r>
      <w:r>
        <w:t>обще</w:t>
      </w:r>
      <w:r w:rsidR="00A5615D">
        <w:t>м</w:t>
      </w:r>
      <w:r>
        <w:t>, после получения</w:t>
      </w:r>
      <w:r w:rsidR="00A5615D">
        <w:t xml:space="preserve"> материала</w:t>
      </w:r>
      <w:r>
        <w:t xml:space="preserve"> важно как можно быстрее проанализировать </w:t>
      </w:r>
      <w:proofErr w:type="spellStart"/>
      <w:r>
        <w:t>аспирированные</w:t>
      </w:r>
      <w:proofErr w:type="spellEnd"/>
      <w:r>
        <w:t xml:space="preserve"> образцы синовиальной жидкости, чтобы избежать ложных результатов. В частности, подсчет </w:t>
      </w:r>
      <w:r w:rsidR="00A5615D">
        <w:rPr>
          <w:lang w:val="en-US"/>
        </w:rPr>
        <w:t>WBC</w:t>
      </w:r>
      <w:r>
        <w:t xml:space="preserve"> и </w:t>
      </w:r>
      <w:r w:rsidR="00333B40">
        <w:t xml:space="preserve">их </w:t>
      </w:r>
      <w:r w:rsidRPr="00333B40">
        <w:t>дифферен</w:t>
      </w:r>
      <w:r w:rsidR="00333B40">
        <w:t>циация</w:t>
      </w:r>
      <w:r w:rsidR="008B5416">
        <w:t>, в идеале,</w:t>
      </w:r>
      <w:r>
        <w:t xml:space="preserve"> должны выполняться на свежих образцах.</w:t>
      </w:r>
    </w:p>
    <w:p w:rsidR="00251F58" w:rsidRDefault="00251F58" w:rsidP="00251F58">
      <w:pPr>
        <w:spacing w:after="0"/>
        <w:jc w:val="both"/>
      </w:pPr>
    </w:p>
    <w:p w:rsidR="00251F58" w:rsidRDefault="00251F58" w:rsidP="00251F58">
      <w:pPr>
        <w:spacing w:after="0"/>
        <w:jc w:val="both"/>
      </w:pPr>
      <w:r>
        <w:t xml:space="preserve">Ручной подсчет тщательно перемешанных образцов синовиальной жидкости выполняется с использованием счетной камеры </w:t>
      </w:r>
      <w:proofErr w:type="spellStart"/>
      <w:r>
        <w:t>Нойбауэра</w:t>
      </w:r>
      <w:proofErr w:type="spellEnd"/>
      <w:r>
        <w:t xml:space="preserve"> таким же образом, как и для подсчета спинномозговой жидкости (CSF). Обычно прозрачные жидкости можно подсчитывать, не разбавляя их, но разбавления необходимы, когда жидкости мутные или кровянистые. Если перед подсчетом необходимо </w:t>
      </w:r>
      <w:proofErr w:type="spellStart"/>
      <w:r>
        <w:t>лизировать</w:t>
      </w:r>
      <w:proofErr w:type="spellEnd"/>
      <w:r>
        <w:t xml:space="preserve"> эритроциты, подходящими разбавителями являются гипотонический физиологический раствор (0,3%) или физиологический раствор, содержащий сапонин. Метиленовый синий, добавленный к изотоническому солевому раствору, окрашивает ядра лейкоцитов, позволяя различать эритроциты и лейкоциты при подсчете образцов, содержащих эритроциты.</w:t>
      </w:r>
    </w:p>
    <w:p w:rsidR="008B5416" w:rsidRDefault="008B5416" w:rsidP="00251F58">
      <w:pPr>
        <w:spacing w:after="0"/>
        <w:jc w:val="both"/>
      </w:pPr>
    </w:p>
    <w:p w:rsidR="008B5416" w:rsidRDefault="008B5416" w:rsidP="008B5416">
      <w:pPr>
        <w:spacing w:after="0"/>
        <w:jc w:val="both"/>
      </w:pPr>
      <w:r>
        <w:t xml:space="preserve">Несмотря на то, что оптическая микроскопия по-прежнему считается эталонным методом для </w:t>
      </w:r>
      <w:r>
        <w:lastRenderedPageBreak/>
        <w:t>подсчета лейкоцитов, было подчеркнуто множество недостатков. К ним относятся высокая стоимость, низкая пропускная способность, длительное время обработки, отсутствие межлабораторной гармонизации, высокая неточность (особенно в пробах с низкой концентрацией клеток) и потребность в специализированном персонале, выполняющем анализ [3, 4].</w:t>
      </w:r>
    </w:p>
    <w:p w:rsidR="008B5416" w:rsidRDefault="008B5416" w:rsidP="008B5416">
      <w:pPr>
        <w:spacing w:after="0"/>
        <w:jc w:val="both"/>
      </w:pPr>
    </w:p>
    <w:p w:rsidR="008B5416" w:rsidRDefault="008B5416" w:rsidP="008B5416">
      <w:pPr>
        <w:spacing w:after="0"/>
        <w:jc w:val="both"/>
      </w:pPr>
      <w:r>
        <w:t xml:space="preserve">Последние оценки эффективности подтверждают, что автоматический подсчет </w:t>
      </w:r>
      <w:r w:rsidR="00A42D9D">
        <w:rPr>
          <w:lang w:val="en-US"/>
        </w:rPr>
        <w:t>WBC</w:t>
      </w:r>
      <w:r>
        <w:t xml:space="preserve"> в синовиальной жидкости демонстрирует отличные характеристики, что делает его надежной и практичной альтернативой оптической микроскопии [3–5]. Большинство производителей анализаторов, доступных на рынке, также предоставляют материалы для контроля качества для проверки высокой точности подсчета клеток.</w:t>
      </w:r>
      <w:r w:rsidR="00A42D9D">
        <w:t xml:space="preserve"> </w:t>
      </w:r>
    </w:p>
    <w:p w:rsidR="00A42D9D" w:rsidRDefault="00A42D9D" w:rsidP="008B5416">
      <w:pPr>
        <w:spacing w:after="0"/>
        <w:jc w:val="both"/>
      </w:pPr>
    </w:p>
    <w:p w:rsidR="00A42D9D" w:rsidRDefault="00A42D9D" w:rsidP="008B5416">
      <w:pPr>
        <w:spacing w:after="0"/>
        <w:jc w:val="both"/>
      </w:pPr>
      <w:r w:rsidRPr="00A42D9D">
        <w:rPr>
          <w:b/>
        </w:rPr>
        <w:t>Дифференциа</w:t>
      </w:r>
      <w:r>
        <w:rPr>
          <w:b/>
        </w:rPr>
        <w:t>ция</w:t>
      </w:r>
    </w:p>
    <w:p w:rsidR="00A42D9D" w:rsidRDefault="007F3984" w:rsidP="008B5416">
      <w:pPr>
        <w:spacing w:after="0"/>
        <w:jc w:val="both"/>
      </w:pPr>
      <w:r w:rsidRPr="007F3984">
        <w:t xml:space="preserve">Дифференциальный подсчет лейкоцитов обычно проводят из препаратов </w:t>
      </w:r>
      <w:proofErr w:type="spellStart"/>
      <w:r w:rsidRPr="007F3984">
        <w:t>цитоцентрифуги</w:t>
      </w:r>
      <w:proofErr w:type="spellEnd"/>
      <w:r w:rsidRPr="007F3984">
        <w:t xml:space="preserve"> или на </w:t>
      </w:r>
      <w:r>
        <w:t xml:space="preserve">тонких </w:t>
      </w:r>
      <w:proofErr w:type="gramStart"/>
      <w:r>
        <w:t>мазках</w:t>
      </w:r>
      <w:proofErr w:type="gramEnd"/>
      <w:r>
        <w:t xml:space="preserve"> на</w:t>
      </w:r>
      <w:r w:rsidRPr="007F3984">
        <w:t xml:space="preserve"> предметных стеклах с последующим окрашиванием по Маю-</w:t>
      </w:r>
      <w:proofErr w:type="spellStart"/>
      <w:r w:rsidRPr="007F3984">
        <w:t>Грюнвальду</w:t>
      </w:r>
      <w:proofErr w:type="spellEnd"/>
      <w:r w:rsidRPr="007F3984">
        <w:t>-</w:t>
      </w:r>
      <w:proofErr w:type="spellStart"/>
      <w:r w:rsidRPr="007F3984">
        <w:t>Гимзе</w:t>
      </w:r>
      <w:proofErr w:type="spellEnd"/>
      <w:r w:rsidRPr="007F3984">
        <w:t>.</w:t>
      </w:r>
    </w:p>
    <w:p w:rsidR="00474156" w:rsidRDefault="00474156" w:rsidP="008B5416">
      <w:pPr>
        <w:spacing w:after="0"/>
        <w:jc w:val="both"/>
      </w:pPr>
      <w:r w:rsidRPr="00474156">
        <w:t xml:space="preserve">Приблизительно 50% ядерных клеток представляют собой моноциты, 25% лимфоциты, а остальная часть состоит из нейтрофилов, макрофагов и клеток синовиальной оболочки. Доказательства относительно использования </w:t>
      </w:r>
      <w:r>
        <w:t xml:space="preserve">общего количества </w:t>
      </w:r>
      <w:r w:rsidRPr="00474156">
        <w:t xml:space="preserve">лейкоцитов и </w:t>
      </w:r>
      <w:r>
        <w:t xml:space="preserve">их </w:t>
      </w:r>
      <w:r w:rsidRPr="00474156">
        <w:t xml:space="preserve">дифференциального подсчета в анализе синовиальной жидкости различаются. </w:t>
      </w:r>
      <w:proofErr w:type="gramStart"/>
      <w:r w:rsidRPr="00474156">
        <w:t>Результаты общего подсчета лейкоцитов и их дифференциала заметно различаются, но в целом</w:t>
      </w:r>
      <w:r>
        <w:t>,</w:t>
      </w:r>
      <w:r w:rsidRPr="00474156">
        <w:t xml:space="preserve"> в большинстве учебников и публикаций подчеркивается, что комбинация количества лейкоцитов и </w:t>
      </w:r>
      <w:proofErr w:type="spellStart"/>
      <w:r w:rsidRPr="00474156">
        <w:t>полиморфонуклеарных</w:t>
      </w:r>
      <w:proofErr w:type="spellEnd"/>
      <w:r w:rsidRPr="00474156">
        <w:t xml:space="preserve"> клеток (</w:t>
      </w:r>
      <w:r>
        <w:t>PMN</w:t>
      </w:r>
      <w:r w:rsidRPr="00474156">
        <w:t xml:space="preserve">) является важным диагностическим маркером для быстрого отличия </w:t>
      </w:r>
      <w:proofErr w:type="spellStart"/>
      <w:r w:rsidRPr="00474156">
        <w:t>невоспалительного</w:t>
      </w:r>
      <w:proofErr w:type="spellEnd"/>
      <w:r w:rsidRPr="00474156">
        <w:t xml:space="preserve"> от воспалительного и септические расстройства.</w:t>
      </w:r>
      <w:proofErr w:type="gramEnd"/>
      <w:r w:rsidRPr="00474156">
        <w:t xml:space="preserve"> Тем не менее, как WBC, так и PMN сами по себе ограничены в различении этих конкретных категорий заболеваний из-за их широкого и частично перекрывающегося распределения. Сегодня во многих учебниках и публикациях приводится следующая традиционная </w:t>
      </w:r>
      <w:r w:rsidRPr="00474156">
        <w:lastRenderedPageBreak/>
        <w:t>система классификации</w:t>
      </w:r>
      <w:r>
        <w:t xml:space="preserve"> процессов</w:t>
      </w:r>
      <w:r w:rsidRPr="00474156">
        <w:t>, составленная Американской ассоциацией ревматизма [4]:</w:t>
      </w:r>
    </w:p>
    <w:p w:rsidR="00474156" w:rsidRDefault="00474156" w:rsidP="00474156">
      <w:pPr>
        <w:pStyle w:val="a5"/>
        <w:numPr>
          <w:ilvl w:val="0"/>
          <w:numId w:val="4"/>
        </w:numPr>
        <w:spacing w:after="0"/>
        <w:jc w:val="both"/>
      </w:pPr>
      <w:r>
        <w:t>Норма</w:t>
      </w:r>
      <w:r w:rsidRPr="00474156">
        <w:t xml:space="preserve">: </w:t>
      </w:r>
      <w:r w:rsidRPr="00474156">
        <w:rPr>
          <w:lang w:val="en-US"/>
        </w:rPr>
        <w:t>WBC</w:t>
      </w:r>
      <w:r w:rsidRPr="00474156">
        <w:t xml:space="preserve"> &lt; 200 </w:t>
      </w:r>
      <w:r w:rsidRPr="00474156">
        <w:rPr>
          <w:lang w:val="en-US"/>
        </w:rPr>
        <w:t>x</w:t>
      </w:r>
      <w:r w:rsidRPr="00474156">
        <w:t xml:space="preserve"> 10</w:t>
      </w:r>
      <w:r w:rsidRPr="00474156">
        <w:rPr>
          <w:vertAlign w:val="superscript"/>
        </w:rPr>
        <w:t>6</w:t>
      </w:r>
      <w:r w:rsidRPr="00474156">
        <w:t xml:space="preserve"> /</w:t>
      </w:r>
      <w:r w:rsidRPr="00474156">
        <w:rPr>
          <w:lang w:val="en-US"/>
        </w:rPr>
        <w:t>L</w:t>
      </w:r>
      <w:r w:rsidRPr="00474156">
        <w:t xml:space="preserve">, </w:t>
      </w:r>
      <w:r w:rsidRPr="00474156">
        <w:rPr>
          <w:lang w:val="en-US"/>
        </w:rPr>
        <w:t>PMN</w:t>
      </w:r>
      <w:r w:rsidRPr="00474156">
        <w:t xml:space="preserve"> &lt; 25% </w:t>
      </w:r>
    </w:p>
    <w:p w:rsidR="00474156" w:rsidRPr="00474156" w:rsidRDefault="00474156" w:rsidP="00474156">
      <w:pPr>
        <w:pStyle w:val="a5"/>
        <w:numPr>
          <w:ilvl w:val="0"/>
          <w:numId w:val="4"/>
        </w:numPr>
        <w:spacing w:after="0"/>
        <w:jc w:val="both"/>
      </w:pPr>
      <w:r>
        <w:t>Не воспалительный</w:t>
      </w:r>
      <w:r w:rsidRPr="00474156">
        <w:t xml:space="preserve">: </w:t>
      </w:r>
      <w:r w:rsidRPr="00474156">
        <w:rPr>
          <w:lang w:val="en-US"/>
        </w:rPr>
        <w:t>WBC</w:t>
      </w:r>
      <w:r w:rsidRPr="00474156">
        <w:t xml:space="preserve"> &lt; 2,000 </w:t>
      </w:r>
      <w:r w:rsidRPr="00474156">
        <w:rPr>
          <w:lang w:val="en-US"/>
        </w:rPr>
        <w:t>x</w:t>
      </w:r>
      <w:r w:rsidRPr="00474156">
        <w:t xml:space="preserve"> 10</w:t>
      </w:r>
      <w:r w:rsidRPr="00474156">
        <w:rPr>
          <w:vertAlign w:val="superscript"/>
        </w:rPr>
        <w:t>6</w:t>
      </w:r>
      <w:r w:rsidRPr="00474156">
        <w:t xml:space="preserve"> /</w:t>
      </w:r>
      <w:r w:rsidRPr="00474156">
        <w:rPr>
          <w:lang w:val="en-US"/>
        </w:rPr>
        <w:t>L</w:t>
      </w:r>
      <w:r w:rsidRPr="00474156">
        <w:t xml:space="preserve">, </w:t>
      </w:r>
      <w:r w:rsidRPr="00474156">
        <w:rPr>
          <w:lang w:val="en-US"/>
        </w:rPr>
        <w:t>PMN</w:t>
      </w:r>
      <w:r w:rsidRPr="00474156">
        <w:t xml:space="preserve"> &lt; 25% </w:t>
      </w:r>
    </w:p>
    <w:p w:rsidR="00474156" w:rsidRPr="00474156" w:rsidRDefault="00474156" w:rsidP="00474156">
      <w:pPr>
        <w:pStyle w:val="a5"/>
        <w:numPr>
          <w:ilvl w:val="0"/>
          <w:numId w:val="4"/>
        </w:numPr>
        <w:spacing w:after="0"/>
        <w:jc w:val="both"/>
      </w:pPr>
      <w:proofErr w:type="spellStart"/>
      <w:r>
        <w:t>Восполительный</w:t>
      </w:r>
      <w:proofErr w:type="spellEnd"/>
      <w:r w:rsidRPr="00474156">
        <w:t xml:space="preserve">: </w:t>
      </w:r>
      <w:r w:rsidRPr="00474156">
        <w:rPr>
          <w:lang w:val="en-US"/>
        </w:rPr>
        <w:t>WBC</w:t>
      </w:r>
      <w:r w:rsidRPr="00474156">
        <w:t xml:space="preserve"> 2,000 – 50,000 </w:t>
      </w:r>
      <w:r w:rsidRPr="00474156">
        <w:rPr>
          <w:lang w:val="en-US"/>
        </w:rPr>
        <w:t>x</w:t>
      </w:r>
      <w:r w:rsidRPr="00474156">
        <w:t xml:space="preserve"> 10</w:t>
      </w:r>
      <w:r w:rsidRPr="00474156">
        <w:rPr>
          <w:vertAlign w:val="superscript"/>
        </w:rPr>
        <w:t>6</w:t>
      </w:r>
      <w:r w:rsidRPr="00474156">
        <w:t xml:space="preserve"> /</w:t>
      </w:r>
      <w:r w:rsidRPr="00474156">
        <w:rPr>
          <w:lang w:val="en-US"/>
        </w:rPr>
        <w:t>L</w:t>
      </w:r>
      <w:r w:rsidRPr="00474156">
        <w:t xml:space="preserve">, </w:t>
      </w:r>
      <w:r w:rsidRPr="00474156">
        <w:rPr>
          <w:lang w:val="en-US"/>
        </w:rPr>
        <w:t>PMN</w:t>
      </w:r>
      <w:r w:rsidRPr="00474156">
        <w:t xml:space="preserve"> &gt; 50% </w:t>
      </w:r>
    </w:p>
    <w:p w:rsidR="00474156" w:rsidRPr="00474156" w:rsidRDefault="00474156" w:rsidP="00474156">
      <w:pPr>
        <w:pStyle w:val="a5"/>
        <w:numPr>
          <w:ilvl w:val="0"/>
          <w:numId w:val="4"/>
        </w:numPr>
        <w:spacing w:after="0"/>
        <w:jc w:val="both"/>
      </w:pPr>
      <w:r>
        <w:t>Септический</w:t>
      </w:r>
      <w:r w:rsidRPr="00474156">
        <w:t xml:space="preserve">: </w:t>
      </w:r>
      <w:r w:rsidRPr="00474156">
        <w:rPr>
          <w:lang w:val="en-US"/>
        </w:rPr>
        <w:t>WBC</w:t>
      </w:r>
      <w:r w:rsidRPr="00474156">
        <w:t xml:space="preserve"> &gt; 50,000 </w:t>
      </w:r>
      <w:r w:rsidRPr="00474156">
        <w:rPr>
          <w:lang w:val="en-US"/>
        </w:rPr>
        <w:t>x</w:t>
      </w:r>
      <w:r w:rsidRPr="00474156">
        <w:t xml:space="preserve"> 10</w:t>
      </w:r>
      <w:r w:rsidRPr="00474156">
        <w:rPr>
          <w:vertAlign w:val="superscript"/>
        </w:rPr>
        <w:t>6</w:t>
      </w:r>
      <w:r w:rsidRPr="00474156">
        <w:t xml:space="preserve"> /</w:t>
      </w:r>
      <w:r w:rsidRPr="00474156">
        <w:rPr>
          <w:lang w:val="en-US"/>
        </w:rPr>
        <w:t>L</w:t>
      </w:r>
      <w:r w:rsidRPr="00474156">
        <w:t xml:space="preserve">, </w:t>
      </w:r>
      <w:r w:rsidRPr="00474156">
        <w:rPr>
          <w:lang w:val="en-US"/>
        </w:rPr>
        <w:t>PMN</w:t>
      </w:r>
      <w:r w:rsidRPr="00474156">
        <w:t xml:space="preserve"> &gt; 75%</w:t>
      </w:r>
    </w:p>
    <w:p w:rsidR="00474156" w:rsidRDefault="00474156" w:rsidP="008B5416">
      <w:pPr>
        <w:spacing w:after="0"/>
        <w:jc w:val="both"/>
      </w:pPr>
      <w:r w:rsidRPr="00474156">
        <w:t>Наиболее часто встречающиеся клетки и включения в синовиальной жидкости приведены в таблице 1 [6]. При</w:t>
      </w:r>
      <w:r w:rsidR="00397E0E">
        <w:t xml:space="preserve"> исследовании</w:t>
      </w:r>
      <w:r w:rsidRPr="00474156">
        <w:t xml:space="preserve"> нормальных и аномальных образцов под микроскопом следует иметь в виду, что клетки могут казаться более </w:t>
      </w:r>
      <w:proofErr w:type="spellStart"/>
      <w:r w:rsidRPr="00474156">
        <w:t>вакуолизированными</w:t>
      </w:r>
      <w:proofErr w:type="spellEnd"/>
      <w:r w:rsidRPr="00474156">
        <w:t>, чем в мазке крови.</w:t>
      </w:r>
    </w:p>
    <w:p w:rsidR="00397E0E" w:rsidRDefault="00397E0E" w:rsidP="008B5416">
      <w:pPr>
        <w:spacing w:after="0"/>
        <w:jc w:val="both"/>
      </w:pPr>
    </w:p>
    <w:p w:rsidR="00397E0E" w:rsidRDefault="00397E0E" w:rsidP="008B5416">
      <w:pPr>
        <w:spacing w:after="0"/>
        <w:jc w:val="both"/>
        <w:rPr>
          <w:b/>
        </w:rPr>
      </w:pPr>
      <w:r w:rsidRPr="00397E0E">
        <w:rPr>
          <w:b/>
        </w:rPr>
        <w:t>Идентификация кристаллов</w:t>
      </w:r>
    </w:p>
    <w:p w:rsidR="00397E0E" w:rsidRDefault="00397E0E" w:rsidP="008B5416">
      <w:pPr>
        <w:spacing w:after="0"/>
        <w:jc w:val="both"/>
      </w:pPr>
      <w:r w:rsidRPr="00397E0E">
        <w:t>Микроскопическое исследование синовиальной жидкости с использованием поляризованного света для обнаружения кристаллов является важным диагностическим тестом при оценке артрита. Образование кристаллов в суставе часто приводит к острому болезненному воспалению. Это также может стать хроническим заболеванием. Причины образования кристаллов включают нарушения обмена веществ и снижение почечной экскреции, вызывающее повышенный уровень кристаллизующихся химических веще</w:t>
      </w:r>
      <w:proofErr w:type="gramStart"/>
      <w:r w:rsidRPr="00397E0E">
        <w:t>ств в кр</w:t>
      </w:r>
      <w:proofErr w:type="gramEnd"/>
      <w:r w:rsidRPr="00397E0E">
        <w:t>ови, дегенерацию хрящей и костей, а также инъекции лекарств</w:t>
      </w:r>
      <w:r>
        <w:t xml:space="preserve"> в сустав, таких как кортикостероиды.</w:t>
      </w:r>
      <w:r w:rsidRPr="00397E0E">
        <w:t xml:space="preserve"> В таблице 2 [6] представлены кристаллы, наиболее часто встречающиеся в синовиальной жидкости.</w:t>
      </w:r>
      <w:r>
        <w:t xml:space="preserve"> </w:t>
      </w:r>
    </w:p>
    <w:p w:rsidR="00397E0E" w:rsidRDefault="00397E0E" w:rsidP="008B5416">
      <w:pPr>
        <w:spacing w:after="0"/>
        <w:jc w:val="both"/>
      </w:pPr>
    </w:p>
    <w:p w:rsidR="00397E0E" w:rsidRDefault="00397E0E" w:rsidP="008B5416">
      <w:pPr>
        <w:spacing w:after="0"/>
        <w:jc w:val="both"/>
      </w:pPr>
    </w:p>
    <w:p w:rsidR="00397E0E" w:rsidRDefault="00397E0E" w:rsidP="008B5416">
      <w:pPr>
        <w:spacing w:after="0"/>
        <w:jc w:val="both"/>
      </w:pPr>
    </w:p>
    <w:p w:rsidR="00397E0E" w:rsidRDefault="00397E0E" w:rsidP="008B5416">
      <w:pPr>
        <w:spacing w:after="0"/>
        <w:jc w:val="both"/>
      </w:pPr>
    </w:p>
    <w:p w:rsidR="00397E0E" w:rsidRDefault="00397E0E" w:rsidP="008B5416">
      <w:pPr>
        <w:spacing w:after="0"/>
        <w:jc w:val="both"/>
      </w:pPr>
    </w:p>
    <w:p w:rsidR="00397E0E" w:rsidRDefault="00397E0E" w:rsidP="008B5416">
      <w:pPr>
        <w:spacing w:after="0"/>
        <w:jc w:val="both"/>
      </w:pPr>
    </w:p>
    <w:p w:rsidR="00397E0E" w:rsidRDefault="00397E0E" w:rsidP="008B5416">
      <w:pPr>
        <w:spacing w:after="0"/>
        <w:jc w:val="both"/>
      </w:pPr>
    </w:p>
    <w:p w:rsidR="00397E0E" w:rsidRDefault="00397E0E" w:rsidP="008B5416">
      <w:pPr>
        <w:spacing w:after="0"/>
        <w:jc w:val="both"/>
      </w:pPr>
    </w:p>
    <w:p w:rsidR="00397E0E" w:rsidRDefault="00397E0E" w:rsidP="008B5416">
      <w:pPr>
        <w:spacing w:after="0"/>
        <w:jc w:val="both"/>
      </w:pPr>
    </w:p>
    <w:p w:rsidR="00397E0E" w:rsidRDefault="00397E0E" w:rsidP="008B5416">
      <w:pPr>
        <w:spacing w:after="0"/>
        <w:jc w:val="both"/>
      </w:pPr>
    </w:p>
    <w:p w:rsidR="00397E0E" w:rsidRDefault="00397E0E" w:rsidP="008B5416">
      <w:pPr>
        <w:spacing w:after="0"/>
        <w:jc w:val="both"/>
      </w:pPr>
    </w:p>
    <w:p w:rsidR="00397E0E" w:rsidRDefault="00397E0E" w:rsidP="008B5416">
      <w:pPr>
        <w:spacing w:after="0"/>
        <w:jc w:val="both"/>
      </w:pPr>
    </w:p>
    <w:p w:rsidR="00397E0E" w:rsidRDefault="00397E0E" w:rsidP="008B5416">
      <w:pPr>
        <w:spacing w:after="0"/>
        <w:jc w:val="both"/>
      </w:pPr>
    </w:p>
    <w:p w:rsidR="00397E0E" w:rsidRDefault="00397E0E" w:rsidP="008B5416">
      <w:pPr>
        <w:spacing w:after="0"/>
        <w:jc w:val="both"/>
      </w:pPr>
    </w:p>
    <w:p w:rsidR="00397E0E" w:rsidRDefault="00397E0E" w:rsidP="008B5416">
      <w:pPr>
        <w:spacing w:after="0"/>
        <w:jc w:val="both"/>
      </w:pPr>
    </w:p>
    <w:p w:rsidR="00E2709A" w:rsidRDefault="00E2709A" w:rsidP="008B5416">
      <w:pPr>
        <w:spacing w:after="0"/>
        <w:jc w:val="both"/>
        <w:sectPr w:rsidR="00E2709A" w:rsidSect="0011415D">
          <w:type w:val="continuous"/>
          <w:pgSz w:w="11906" w:h="16838"/>
          <w:pgMar w:top="1134" w:right="850" w:bottom="1134" w:left="993" w:header="708" w:footer="708" w:gutter="0"/>
          <w:cols w:num="2" w:space="283"/>
          <w:docGrid w:linePitch="360"/>
        </w:sectPr>
      </w:pPr>
    </w:p>
    <w:p w:rsidR="00E2709A" w:rsidRDefault="00E2709A" w:rsidP="008B5416">
      <w:pPr>
        <w:spacing w:after="0"/>
        <w:jc w:val="both"/>
        <w:sectPr w:rsidR="00E2709A" w:rsidSect="00E2709A">
          <w:type w:val="continuous"/>
          <w:pgSz w:w="11906" w:h="16838"/>
          <w:pgMar w:top="1134" w:right="850" w:bottom="1134" w:left="993" w:header="708" w:footer="708" w:gutter="0"/>
          <w:cols w:space="283"/>
          <w:docGrid w:linePitch="360"/>
        </w:sectPr>
      </w:pPr>
    </w:p>
    <w:p w:rsidR="00E2709A" w:rsidRPr="00E2709A" w:rsidRDefault="00E2709A" w:rsidP="00E2709A">
      <w:pPr>
        <w:rPr>
          <w:b/>
          <w:bCs/>
          <w:color w:val="548DD4" w:themeColor="text2" w:themeTint="99"/>
        </w:rPr>
        <w:sectPr w:rsidR="00E2709A" w:rsidRPr="00E2709A" w:rsidSect="00397E0E">
          <w:type w:val="continuous"/>
          <w:pgSz w:w="11906" w:h="16838"/>
          <w:pgMar w:top="1134" w:right="850" w:bottom="1134" w:left="993" w:header="708" w:footer="708" w:gutter="0"/>
          <w:cols w:space="283"/>
          <w:docGrid w:linePitch="360"/>
        </w:sectPr>
      </w:pPr>
      <w:r w:rsidRPr="00E2709A">
        <w:rPr>
          <w:b/>
          <w:bCs/>
          <w:i/>
          <w:color w:val="548DD4" w:themeColor="text2" w:themeTint="99"/>
        </w:rPr>
        <w:lastRenderedPageBreak/>
        <w:t>Таблица 1</w:t>
      </w:r>
      <w:r w:rsidRPr="00E2709A">
        <w:rPr>
          <w:b/>
          <w:bCs/>
          <w:color w:val="548DD4" w:themeColor="text2" w:themeTint="99"/>
        </w:rPr>
        <w:t xml:space="preserve"> </w:t>
      </w:r>
      <w:r w:rsidRPr="00E2709A">
        <w:rPr>
          <w:bCs/>
          <w:i/>
          <w:color w:val="548DD4" w:themeColor="text2" w:themeTint="99"/>
        </w:rPr>
        <w:t>Клетки и включения в синовиальной жидкости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2376"/>
        <w:gridCol w:w="4476"/>
        <w:gridCol w:w="3427"/>
      </w:tblGrid>
      <w:tr w:rsidR="00397E0E" w:rsidRPr="00FA0C4F" w:rsidTr="00E270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397E0E" w:rsidRPr="00FA0C4F" w:rsidRDefault="00397E0E" w:rsidP="008B5416">
            <w:pPr>
              <w:jc w:val="both"/>
              <w:rPr>
                <w:sz w:val="20"/>
              </w:rPr>
            </w:pPr>
            <w:r w:rsidRPr="00FA0C4F">
              <w:rPr>
                <w:sz w:val="20"/>
              </w:rPr>
              <w:lastRenderedPageBreak/>
              <w:t>Клетка/включения</w:t>
            </w:r>
          </w:p>
        </w:tc>
        <w:tc>
          <w:tcPr>
            <w:tcW w:w="4476" w:type="dxa"/>
          </w:tcPr>
          <w:p w:rsidR="00397E0E" w:rsidRPr="00FA0C4F" w:rsidRDefault="00397E0E" w:rsidP="008B541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A0C4F">
              <w:rPr>
                <w:sz w:val="20"/>
              </w:rPr>
              <w:t>Описание</w:t>
            </w:r>
          </w:p>
        </w:tc>
        <w:tc>
          <w:tcPr>
            <w:tcW w:w="3427" w:type="dxa"/>
          </w:tcPr>
          <w:p w:rsidR="00397E0E" w:rsidRPr="00FA0C4F" w:rsidRDefault="00397E0E" w:rsidP="008B541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A0C4F">
              <w:rPr>
                <w:sz w:val="20"/>
              </w:rPr>
              <w:t xml:space="preserve">Повышенный уровень </w:t>
            </w:r>
            <w:proofErr w:type="gramStart"/>
            <w:r w:rsidRPr="00FA0C4F">
              <w:rPr>
                <w:sz w:val="20"/>
              </w:rPr>
              <w:t>при</w:t>
            </w:r>
            <w:proofErr w:type="gramEnd"/>
            <w:r w:rsidRPr="00FA0C4F">
              <w:rPr>
                <w:sz w:val="20"/>
              </w:rPr>
              <w:t>:</w:t>
            </w:r>
          </w:p>
        </w:tc>
      </w:tr>
      <w:tr w:rsidR="00397E0E" w:rsidRPr="00FA0C4F" w:rsidTr="00E27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397E0E" w:rsidRPr="00FA0C4F" w:rsidRDefault="00E2709A" w:rsidP="008B5416">
            <w:pPr>
              <w:jc w:val="both"/>
              <w:rPr>
                <w:color w:val="auto"/>
                <w:sz w:val="20"/>
              </w:rPr>
            </w:pPr>
            <w:r w:rsidRPr="00FA0C4F">
              <w:rPr>
                <w:color w:val="auto"/>
                <w:sz w:val="20"/>
              </w:rPr>
              <w:t>Хрящевые клетки</w:t>
            </w:r>
          </w:p>
        </w:tc>
        <w:tc>
          <w:tcPr>
            <w:tcW w:w="4476" w:type="dxa"/>
          </w:tcPr>
          <w:p w:rsidR="00397E0E" w:rsidRPr="00FA0C4F" w:rsidRDefault="00E2709A" w:rsidP="008B54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FA0C4F">
              <w:rPr>
                <w:color w:val="auto"/>
                <w:sz w:val="20"/>
              </w:rPr>
              <w:t>Большие, многоядерные клетки</w:t>
            </w:r>
          </w:p>
        </w:tc>
        <w:tc>
          <w:tcPr>
            <w:tcW w:w="3427" w:type="dxa"/>
          </w:tcPr>
          <w:p w:rsidR="00397E0E" w:rsidRPr="00FA0C4F" w:rsidRDefault="00E2709A" w:rsidP="008B54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spellStart"/>
            <w:r w:rsidRPr="00FA0C4F">
              <w:rPr>
                <w:color w:val="auto"/>
                <w:sz w:val="20"/>
              </w:rPr>
              <w:t>Остеоартроз</w:t>
            </w:r>
            <w:proofErr w:type="spellEnd"/>
          </w:p>
        </w:tc>
      </w:tr>
      <w:tr w:rsidR="00397E0E" w:rsidRPr="00FA0C4F" w:rsidTr="00E27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397E0E" w:rsidRPr="00FA0C4F" w:rsidRDefault="00E2709A" w:rsidP="00E2709A">
            <w:pPr>
              <w:jc w:val="both"/>
              <w:rPr>
                <w:color w:val="auto"/>
                <w:sz w:val="20"/>
              </w:rPr>
            </w:pPr>
            <w:r w:rsidRPr="00FA0C4F">
              <w:rPr>
                <w:color w:val="auto"/>
                <w:sz w:val="20"/>
              </w:rPr>
              <w:t>Жирные капли</w:t>
            </w:r>
          </w:p>
        </w:tc>
        <w:tc>
          <w:tcPr>
            <w:tcW w:w="4476" w:type="dxa"/>
          </w:tcPr>
          <w:p w:rsidR="00397E0E" w:rsidRPr="00FA0C4F" w:rsidRDefault="00E2709A" w:rsidP="00E270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FA0C4F">
              <w:rPr>
                <w:color w:val="auto"/>
                <w:sz w:val="20"/>
              </w:rPr>
              <w:t xml:space="preserve">Преломляющие внутриклеточные и внеклеточные глобулы, которые можно окрашивать </w:t>
            </w:r>
            <w:proofErr w:type="spellStart"/>
            <w:r w:rsidRPr="00FA0C4F">
              <w:rPr>
                <w:color w:val="auto"/>
                <w:sz w:val="20"/>
              </w:rPr>
              <w:t>судановыми</w:t>
            </w:r>
            <w:proofErr w:type="spellEnd"/>
            <w:r w:rsidRPr="00FA0C4F">
              <w:rPr>
                <w:color w:val="auto"/>
                <w:sz w:val="20"/>
              </w:rPr>
              <w:t xml:space="preserve"> красителями</w:t>
            </w:r>
          </w:p>
        </w:tc>
        <w:tc>
          <w:tcPr>
            <w:tcW w:w="3427" w:type="dxa"/>
          </w:tcPr>
          <w:p w:rsidR="00397E0E" w:rsidRPr="00FA0C4F" w:rsidRDefault="00E2709A" w:rsidP="008B541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FA0C4F">
              <w:rPr>
                <w:color w:val="auto"/>
                <w:sz w:val="20"/>
              </w:rPr>
              <w:t>Травматическое повреждение и хроническое воспаление</w:t>
            </w:r>
          </w:p>
        </w:tc>
      </w:tr>
      <w:tr w:rsidR="00397E0E" w:rsidRPr="00FA0C4F" w:rsidTr="00E27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397E0E" w:rsidRPr="00FA0C4F" w:rsidRDefault="00E2709A" w:rsidP="00E2709A">
            <w:pPr>
              <w:jc w:val="both"/>
              <w:rPr>
                <w:color w:val="auto"/>
                <w:sz w:val="20"/>
              </w:rPr>
            </w:pPr>
            <w:proofErr w:type="spellStart"/>
            <w:r w:rsidRPr="00FA0C4F">
              <w:rPr>
                <w:color w:val="auto"/>
                <w:sz w:val="20"/>
              </w:rPr>
              <w:t>Гемосидерин</w:t>
            </w:r>
            <w:proofErr w:type="spellEnd"/>
          </w:p>
        </w:tc>
        <w:tc>
          <w:tcPr>
            <w:tcW w:w="4476" w:type="dxa"/>
          </w:tcPr>
          <w:p w:rsidR="00397E0E" w:rsidRPr="00FA0C4F" w:rsidRDefault="00E2709A" w:rsidP="00E270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FA0C4F">
              <w:rPr>
                <w:color w:val="auto"/>
                <w:sz w:val="20"/>
              </w:rPr>
              <w:t>Включения в скоплениях синовиальных клеток</w:t>
            </w:r>
          </w:p>
        </w:tc>
        <w:tc>
          <w:tcPr>
            <w:tcW w:w="3427" w:type="dxa"/>
          </w:tcPr>
          <w:p w:rsidR="00397E0E" w:rsidRPr="00FA0C4F" w:rsidRDefault="00E2709A" w:rsidP="008B54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FA0C4F">
              <w:rPr>
                <w:color w:val="auto"/>
                <w:sz w:val="20"/>
              </w:rPr>
              <w:t xml:space="preserve">Пигментный </w:t>
            </w:r>
            <w:proofErr w:type="spellStart"/>
            <w:r w:rsidRPr="00FA0C4F">
              <w:rPr>
                <w:color w:val="auto"/>
                <w:sz w:val="20"/>
              </w:rPr>
              <w:t>виллонодулярный</w:t>
            </w:r>
            <w:proofErr w:type="spellEnd"/>
            <w:r w:rsidRPr="00FA0C4F">
              <w:rPr>
                <w:color w:val="auto"/>
                <w:sz w:val="20"/>
              </w:rPr>
              <w:t xml:space="preserve"> </w:t>
            </w:r>
            <w:proofErr w:type="spellStart"/>
            <w:r w:rsidRPr="00FA0C4F">
              <w:rPr>
                <w:color w:val="auto"/>
                <w:sz w:val="20"/>
              </w:rPr>
              <w:t>синовит</w:t>
            </w:r>
            <w:proofErr w:type="spellEnd"/>
          </w:p>
        </w:tc>
      </w:tr>
      <w:tr w:rsidR="00397E0E" w:rsidRPr="00FA0C4F" w:rsidTr="00E27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397E0E" w:rsidRPr="00FA0C4F" w:rsidRDefault="00E2709A" w:rsidP="00E2709A">
            <w:pPr>
              <w:jc w:val="both"/>
              <w:rPr>
                <w:color w:val="auto"/>
                <w:sz w:val="20"/>
              </w:rPr>
            </w:pPr>
            <w:r w:rsidRPr="00FA0C4F">
              <w:rPr>
                <w:color w:val="auto"/>
                <w:sz w:val="20"/>
              </w:rPr>
              <w:t>LE-клетки</w:t>
            </w:r>
          </w:p>
        </w:tc>
        <w:tc>
          <w:tcPr>
            <w:tcW w:w="4476" w:type="dxa"/>
          </w:tcPr>
          <w:p w:rsidR="00397E0E" w:rsidRPr="00FA0C4F" w:rsidRDefault="00E2709A" w:rsidP="00E270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FA0C4F">
              <w:rPr>
                <w:color w:val="auto"/>
                <w:sz w:val="20"/>
              </w:rPr>
              <w:t>Нейтрофилы, содержащие характерное «круглое тело» при поглощении</w:t>
            </w:r>
          </w:p>
        </w:tc>
        <w:tc>
          <w:tcPr>
            <w:tcW w:w="3427" w:type="dxa"/>
          </w:tcPr>
          <w:p w:rsidR="00397E0E" w:rsidRPr="00FA0C4F" w:rsidRDefault="00E2709A" w:rsidP="008B541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FA0C4F">
              <w:rPr>
                <w:color w:val="auto"/>
                <w:sz w:val="20"/>
              </w:rPr>
              <w:t>Красная волчанка</w:t>
            </w:r>
          </w:p>
        </w:tc>
      </w:tr>
      <w:tr w:rsidR="00397E0E" w:rsidRPr="00FA0C4F" w:rsidTr="00E27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397E0E" w:rsidRPr="00FA0C4F" w:rsidRDefault="00E2709A" w:rsidP="00E2709A">
            <w:pPr>
              <w:jc w:val="both"/>
              <w:rPr>
                <w:color w:val="auto"/>
                <w:sz w:val="20"/>
              </w:rPr>
            </w:pPr>
            <w:r w:rsidRPr="00FA0C4F">
              <w:rPr>
                <w:color w:val="auto"/>
                <w:sz w:val="20"/>
              </w:rPr>
              <w:t>Лимфоцит</w:t>
            </w:r>
          </w:p>
        </w:tc>
        <w:tc>
          <w:tcPr>
            <w:tcW w:w="4476" w:type="dxa"/>
          </w:tcPr>
          <w:p w:rsidR="00397E0E" w:rsidRPr="00FA0C4F" w:rsidRDefault="00E2709A" w:rsidP="00CE1E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spellStart"/>
            <w:r w:rsidRPr="00FA0C4F">
              <w:rPr>
                <w:color w:val="auto"/>
                <w:sz w:val="20"/>
              </w:rPr>
              <w:t>Мононуклеарн</w:t>
            </w:r>
            <w:r w:rsidR="00CE1E34" w:rsidRPr="00FA0C4F">
              <w:rPr>
                <w:color w:val="auto"/>
                <w:sz w:val="20"/>
              </w:rPr>
              <w:t>ы</w:t>
            </w:r>
            <w:r w:rsidRPr="00FA0C4F">
              <w:rPr>
                <w:color w:val="auto"/>
                <w:sz w:val="20"/>
              </w:rPr>
              <w:t>е</w:t>
            </w:r>
            <w:proofErr w:type="spellEnd"/>
            <w:r w:rsidRPr="00FA0C4F">
              <w:rPr>
                <w:color w:val="auto"/>
                <w:sz w:val="20"/>
              </w:rPr>
              <w:t xml:space="preserve"> бел</w:t>
            </w:r>
            <w:r w:rsidR="00CE1E34" w:rsidRPr="00FA0C4F">
              <w:rPr>
                <w:color w:val="auto"/>
                <w:sz w:val="20"/>
              </w:rPr>
              <w:t>ы</w:t>
            </w:r>
            <w:r w:rsidRPr="00FA0C4F">
              <w:rPr>
                <w:color w:val="auto"/>
                <w:sz w:val="20"/>
              </w:rPr>
              <w:t xml:space="preserve">е кровяные </w:t>
            </w:r>
            <w:r w:rsidR="00CE1E34" w:rsidRPr="00FA0C4F">
              <w:rPr>
                <w:color w:val="auto"/>
                <w:sz w:val="20"/>
              </w:rPr>
              <w:t>клетки</w:t>
            </w:r>
          </w:p>
        </w:tc>
        <w:tc>
          <w:tcPr>
            <w:tcW w:w="3427" w:type="dxa"/>
          </w:tcPr>
          <w:p w:rsidR="00397E0E" w:rsidRPr="00FA0C4F" w:rsidRDefault="00CE1E34" w:rsidP="008B54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spellStart"/>
            <w:r w:rsidRPr="00FA0C4F">
              <w:rPr>
                <w:color w:val="auto"/>
                <w:sz w:val="20"/>
              </w:rPr>
              <w:t>Несептическое</w:t>
            </w:r>
            <w:proofErr w:type="spellEnd"/>
            <w:r w:rsidRPr="00FA0C4F">
              <w:rPr>
                <w:color w:val="auto"/>
                <w:sz w:val="20"/>
              </w:rPr>
              <w:t xml:space="preserve"> воспаление</w:t>
            </w:r>
          </w:p>
        </w:tc>
      </w:tr>
      <w:tr w:rsidR="00397E0E" w:rsidRPr="00FA0C4F" w:rsidTr="00E27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397E0E" w:rsidRPr="00FA0C4F" w:rsidRDefault="00CE1E34" w:rsidP="00CE1E34">
            <w:pPr>
              <w:jc w:val="both"/>
              <w:rPr>
                <w:color w:val="auto"/>
                <w:sz w:val="20"/>
              </w:rPr>
            </w:pPr>
            <w:r w:rsidRPr="00FA0C4F">
              <w:rPr>
                <w:color w:val="auto"/>
                <w:sz w:val="20"/>
              </w:rPr>
              <w:t>Макрофаг (моноцит)</w:t>
            </w:r>
          </w:p>
        </w:tc>
        <w:tc>
          <w:tcPr>
            <w:tcW w:w="4476" w:type="dxa"/>
          </w:tcPr>
          <w:p w:rsidR="00397E0E" w:rsidRPr="00FA0C4F" w:rsidRDefault="00CE1E34" w:rsidP="00CE1E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FA0C4F">
              <w:rPr>
                <w:color w:val="auto"/>
                <w:sz w:val="20"/>
              </w:rPr>
              <w:t xml:space="preserve">Крупные </w:t>
            </w:r>
            <w:proofErr w:type="spellStart"/>
            <w:r w:rsidRPr="00FA0C4F">
              <w:rPr>
                <w:color w:val="auto"/>
                <w:sz w:val="20"/>
              </w:rPr>
              <w:t>мононуклеарные</w:t>
            </w:r>
            <w:proofErr w:type="spellEnd"/>
            <w:r w:rsidRPr="00FA0C4F">
              <w:rPr>
                <w:color w:val="auto"/>
                <w:sz w:val="20"/>
              </w:rPr>
              <w:t xml:space="preserve"> белые кровяные клетки, которые могут быть </w:t>
            </w:r>
            <w:proofErr w:type="spellStart"/>
            <w:r w:rsidRPr="00FA0C4F">
              <w:rPr>
                <w:color w:val="auto"/>
                <w:sz w:val="20"/>
              </w:rPr>
              <w:t>вакуолизированы</w:t>
            </w:r>
            <w:proofErr w:type="spellEnd"/>
          </w:p>
        </w:tc>
        <w:tc>
          <w:tcPr>
            <w:tcW w:w="3427" w:type="dxa"/>
          </w:tcPr>
          <w:p w:rsidR="00397E0E" w:rsidRPr="00FA0C4F" w:rsidRDefault="00CE1E34" w:rsidP="008B541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FA0C4F">
              <w:rPr>
                <w:color w:val="auto"/>
                <w:sz w:val="20"/>
              </w:rPr>
              <w:t>Вирусные инфекции</w:t>
            </w:r>
          </w:p>
        </w:tc>
      </w:tr>
      <w:tr w:rsidR="00397E0E" w:rsidRPr="00FA0C4F" w:rsidTr="00E27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397E0E" w:rsidRPr="00FA0C4F" w:rsidRDefault="00CE1E34" w:rsidP="00CE1E34">
            <w:pPr>
              <w:jc w:val="both"/>
              <w:rPr>
                <w:color w:val="auto"/>
                <w:sz w:val="20"/>
              </w:rPr>
            </w:pPr>
            <w:r w:rsidRPr="00FA0C4F">
              <w:rPr>
                <w:color w:val="auto"/>
                <w:sz w:val="20"/>
              </w:rPr>
              <w:t>Нейтрофил</w:t>
            </w:r>
          </w:p>
        </w:tc>
        <w:tc>
          <w:tcPr>
            <w:tcW w:w="4476" w:type="dxa"/>
          </w:tcPr>
          <w:p w:rsidR="00397E0E" w:rsidRPr="00FA0C4F" w:rsidRDefault="00CE1E34" w:rsidP="00CE1E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spellStart"/>
            <w:r w:rsidRPr="00FA0C4F">
              <w:rPr>
                <w:color w:val="auto"/>
                <w:sz w:val="20"/>
              </w:rPr>
              <w:t>Полиморфноядерные</w:t>
            </w:r>
            <w:proofErr w:type="spellEnd"/>
            <w:r w:rsidRPr="00FA0C4F">
              <w:rPr>
                <w:color w:val="auto"/>
                <w:sz w:val="20"/>
              </w:rPr>
              <w:t xml:space="preserve"> белые кровяные клетки</w:t>
            </w:r>
          </w:p>
        </w:tc>
        <w:tc>
          <w:tcPr>
            <w:tcW w:w="3427" w:type="dxa"/>
          </w:tcPr>
          <w:p w:rsidR="00397E0E" w:rsidRPr="00FA0C4F" w:rsidRDefault="00CE1E34" w:rsidP="008B54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FA0C4F">
              <w:rPr>
                <w:color w:val="auto"/>
                <w:sz w:val="20"/>
              </w:rPr>
              <w:t>Бактериальный сепсис, воспаление, вызванное кристаллами</w:t>
            </w:r>
          </w:p>
        </w:tc>
      </w:tr>
      <w:tr w:rsidR="00CE1E34" w:rsidRPr="00FA0C4F" w:rsidTr="00E27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E1E34" w:rsidRPr="00FA0C4F" w:rsidRDefault="00CE1E34" w:rsidP="00CE1E34">
            <w:pPr>
              <w:jc w:val="both"/>
              <w:rPr>
                <w:color w:val="auto"/>
                <w:sz w:val="20"/>
              </w:rPr>
            </w:pPr>
            <w:r w:rsidRPr="00FA0C4F">
              <w:rPr>
                <w:color w:val="auto"/>
                <w:sz w:val="20"/>
              </w:rPr>
              <w:t>Клетка Рейтера</w:t>
            </w:r>
          </w:p>
        </w:tc>
        <w:tc>
          <w:tcPr>
            <w:tcW w:w="4476" w:type="dxa"/>
          </w:tcPr>
          <w:p w:rsidR="00CE1E34" w:rsidRPr="00FA0C4F" w:rsidRDefault="00CE1E34" w:rsidP="00CE1E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spellStart"/>
            <w:r w:rsidRPr="00FA0C4F">
              <w:rPr>
                <w:color w:val="auto"/>
                <w:sz w:val="20"/>
              </w:rPr>
              <w:t>Вакуолизированный</w:t>
            </w:r>
            <w:proofErr w:type="spellEnd"/>
            <w:r w:rsidRPr="00FA0C4F">
              <w:rPr>
                <w:color w:val="auto"/>
                <w:sz w:val="20"/>
              </w:rPr>
              <w:t xml:space="preserve"> макрофаг с поглощенными нейтрофилами</w:t>
            </w:r>
          </w:p>
        </w:tc>
        <w:tc>
          <w:tcPr>
            <w:tcW w:w="3427" w:type="dxa"/>
          </w:tcPr>
          <w:p w:rsidR="00CE1E34" w:rsidRPr="00FA0C4F" w:rsidRDefault="00CE1E34" w:rsidP="008B541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FA0C4F">
              <w:rPr>
                <w:color w:val="auto"/>
                <w:sz w:val="20"/>
              </w:rPr>
              <w:t>Синдром Рейтера, неспецифическое воспаление</w:t>
            </w:r>
          </w:p>
        </w:tc>
      </w:tr>
      <w:tr w:rsidR="00CE1E34" w:rsidRPr="00FA0C4F" w:rsidTr="00E27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E1E34" w:rsidRPr="00FA0C4F" w:rsidRDefault="00CE1E34" w:rsidP="00CE1E34">
            <w:pPr>
              <w:jc w:val="both"/>
              <w:rPr>
                <w:color w:val="auto"/>
                <w:sz w:val="20"/>
              </w:rPr>
            </w:pPr>
            <w:r w:rsidRPr="00FA0C4F">
              <w:rPr>
                <w:color w:val="auto"/>
                <w:sz w:val="20"/>
              </w:rPr>
              <w:t>Клетка ревматоидного артрита (</w:t>
            </w:r>
            <w:proofErr w:type="spellStart"/>
            <w:r w:rsidRPr="00FA0C4F">
              <w:rPr>
                <w:color w:val="auto"/>
                <w:sz w:val="20"/>
              </w:rPr>
              <w:t>рагоцит</w:t>
            </w:r>
            <w:proofErr w:type="spellEnd"/>
            <w:r w:rsidRPr="00FA0C4F">
              <w:rPr>
                <w:color w:val="auto"/>
                <w:sz w:val="20"/>
              </w:rPr>
              <w:t>)</w:t>
            </w:r>
          </w:p>
        </w:tc>
        <w:tc>
          <w:tcPr>
            <w:tcW w:w="4476" w:type="dxa"/>
          </w:tcPr>
          <w:p w:rsidR="00CE1E34" w:rsidRPr="00FA0C4F" w:rsidRDefault="00CE1E34" w:rsidP="00CE1E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spellStart"/>
            <w:r w:rsidRPr="00FA0C4F">
              <w:rPr>
                <w:color w:val="auto"/>
                <w:sz w:val="20"/>
              </w:rPr>
              <w:t>Полиморфноядерный</w:t>
            </w:r>
            <w:proofErr w:type="spellEnd"/>
            <w:r w:rsidRPr="00FA0C4F">
              <w:rPr>
                <w:color w:val="auto"/>
                <w:sz w:val="20"/>
              </w:rPr>
              <w:t xml:space="preserve"> фагоцит с темными цитоплазматическими гранулами, содержащий агрегированные иммуноглобулины, фибрин, ко</w:t>
            </w:r>
            <w:r w:rsidR="009E6067" w:rsidRPr="00FA0C4F">
              <w:rPr>
                <w:color w:val="auto"/>
                <w:sz w:val="20"/>
              </w:rPr>
              <w:t>мплемент и ревматоидный фактор</w:t>
            </w:r>
          </w:p>
        </w:tc>
        <w:tc>
          <w:tcPr>
            <w:tcW w:w="3427" w:type="dxa"/>
          </w:tcPr>
          <w:p w:rsidR="00CE1E34" w:rsidRPr="00FA0C4F" w:rsidRDefault="00CE1E34" w:rsidP="008B54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FA0C4F">
              <w:rPr>
                <w:color w:val="auto"/>
                <w:sz w:val="20"/>
              </w:rPr>
              <w:t>Ревматоидный артрит, иммунологическое воспаление</w:t>
            </w:r>
          </w:p>
        </w:tc>
      </w:tr>
      <w:tr w:rsidR="00CE1E34" w:rsidRPr="00FA0C4F" w:rsidTr="00E27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E1E34" w:rsidRPr="00FA0C4F" w:rsidRDefault="00CE1E34" w:rsidP="00CE1E34">
            <w:pPr>
              <w:jc w:val="both"/>
              <w:rPr>
                <w:color w:val="auto"/>
                <w:sz w:val="20"/>
              </w:rPr>
            </w:pPr>
            <w:r w:rsidRPr="00FA0C4F">
              <w:rPr>
                <w:color w:val="auto"/>
                <w:sz w:val="20"/>
              </w:rPr>
              <w:t>Рисовые тела</w:t>
            </w:r>
          </w:p>
        </w:tc>
        <w:tc>
          <w:tcPr>
            <w:tcW w:w="4476" w:type="dxa"/>
          </w:tcPr>
          <w:p w:rsidR="00CE1E34" w:rsidRPr="00FA0C4F" w:rsidRDefault="00CE1E34" w:rsidP="00CE1E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spellStart"/>
            <w:r w:rsidRPr="00FA0C4F">
              <w:rPr>
                <w:color w:val="auto"/>
                <w:sz w:val="20"/>
              </w:rPr>
              <w:t>Макроскопически</w:t>
            </w:r>
            <w:proofErr w:type="spellEnd"/>
            <w:r w:rsidRPr="00FA0C4F">
              <w:rPr>
                <w:color w:val="auto"/>
                <w:sz w:val="20"/>
              </w:rPr>
              <w:t xml:space="preserve"> напоминают шлифованный рис, они содержат коллаген и фибрин</w:t>
            </w:r>
          </w:p>
        </w:tc>
        <w:tc>
          <w:tcPr>
            <w:tcW w:w="3427" w:type="dxa"/>
          </w:tcPr>
          <w:p w:rsidR="00CE1E34" w:rsidRPr="00FA0C4F" w:rsidRDefault="00CE1E34" w:rsidP="008B541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FA0C4F">
              <w:rPr>
                <w:color w:val="auto"/>
                <w:sz w:val="20"/>
              </w:rPr>
              <w:t>Туберкулез, септический и ревматоидный артрит</w:t>
            </w:r>
          </w:p>
        </w:tc>
      </w:tr>
      <w:tr w:rsidR="00CE1E34" w:rsidRPr="00FA0C4F" w:rsidTr="00E27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E1E34" w:rsidRPr="00FA0C4F" w:rsidRDefault="009E6067" w:rsidP="00CE1E34">
            <w:pPr>
              <w:jc w:val="both"/>
              <w:rPr>
                <w:color w:val="auto"/>
                <w:sz w:val="20"/>
              </w:rPr>
            </w:pPr>
            <w:r w:rsidRPr="00FA0C4F">
              <w:rPr>
                <w:color w:val="auto"/>
                <w:sz w:val="20"/>
              </w:rPr>
              <w:t>Синовиальная выстилающая клетка</w:t>
            </w:r>
          </w:p>
        </w:tc>
        <w:tc>
          <w:tcPr>
            <w:tcW w:w="4476" w:type="dxa"/>
          </w:tcPr>
          <w:p w:rsidR="00CE1E34" w:rsidRPr="00FA0C4F" w:rsidRDefault="009E6067" w:rsidP="009E60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gramStart"/>
            <w:r w:rsidRPr="00FA0C4F">
              <w:rPr>
                <w:color w:val="auto"/>
                <w:sz w:val="20"/>
              </w:rPr>
              <w:t>Подобен</w:t>
            </w:r>
            <w:proofErr w:type="gramEnd"/>
            <w:r w:rsidRPr="00FA0C4F">
              <w:rPr>
                <w:color w:val="auto"/>
                <w:sz w:val="20"/>
              </w:rPr>
              <w:t xml:space="preserve"> макрофагу, но может быть многоядерным</w:t>
            </w:r>
          </w:p>
        </w:tc>
        <w:tc>
          <w:tcPr>
            <w:tcW w:w="3427" w:type="dxa"/>
          </w:tcPr>
          <w:p w:rsidR="00CE1E34" w:rsidRPr="00FA0C4F" w:rsidRDefault="009E6067" w:rsidP="008B54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FA0C4F">
              <w:rPr>
                <w:color w:val="auto"/>
                <w:sz w:val="20"/>
              </w:rPr>
              <w:t>Всегда физиологический</w:t>
            </w:r>
          </w:p>
        </w:tc>
      </w:tr>
    </w:tbl>
    <w:p w:rsidR="00397E0E" w:rsidRDefault="00397E0E" w:rsidP="008B5416">
      <w:pPr>
        <w:spacing w:after="0"/>
        <w:jc w:val="both"/>
      </w:pPr>
    </w:p>
    <w:p w:rsidR="00333B40" w:rsidRDefault="00333B40" w:rsidP="009E6067">
      <w:pPr>
        <w:rPr>
          <w:b/>
          <w:bCs/>
          <w:i/>
          <w:color w:val="548DD4" w:themeColor="text2" w:themeTint="99"/>
        </w:rPr>
      </w:pPr>
    </w:p>
    <w:p w:rsidR="009E6067" w:rsidRPr="00E2709A" w:rsidRDefault="009E6067" w:rsidP="009E6067">
      <w:pPr>
        <w:rPr>
          <w:b/>
          <w:bCs/>
          <w:color w:val="548DD4" w:themeColor="text2" w:themeTint="99"/>
        </w:rPr>
        <w:sectPr w:rsidR="009E6067" w:rsidRPr="00E2709A" w:rsidSect="00397E0E">
          <w:type w:val="continuous"/>
          <w:pgSz w:w="11906" w:h="16838"/>
          <w:pgMar w:top="1134" w:right="850" w:bottom="1134" w:left="993" w:header="708" w:footer="708" w:gutter="0"/>
          <w:cols w:space="283"/>
          <w:docGrid w:linePitch="360"/>
        </w:sectPr>
      </w:pPr>
      <w:r w:rsidRPr="00E2709A">
        <w:rPr>
          <w:b/>
          <w:bCs/>
          <w:i/>
          <w:color w:val="548DD4" w:themeColor="text2" w:themeTint="99"/>
        </w:rPr>
        <w:t xml:space="preserve">Таблица </w:t>
      </w:r>
      <w:r>
        <w:rPr>
          <w:b/>
          <w:bCs/>
          <w:i/>
          <w:color w:val="548DD4" w:themeColor="text2" w:themeTint="99"/>
        </w:rPr>
        <w:t>2</w:t>
      </w:r>
      <w:r w:rsidRPr="00E2709A">
        <w:rPr>
          <w:b/>
          <w:bCs/>
          <w:color w:val="548DD4" w:themeColor="text2" w:themeTint="99"/>
        </w:rPr>
        <w:t xml:space="preserve"> </w:t>
      </w:r>
      <w:r w:rsidRPr="009E6067">
        <w:rPr>
          <w:bCs/>
          <w:i/>
          <w:color w:val="548DD4" w:themeColor="text2" w:themeTint="99"/>
        </w:rPr>
        <w:t>Характеристики кристаллов синовиальной жидкости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2376"/>
        <w:gridCol w:w="4476"/>
        <w:gridCol w:w="3427"/>
      </w:tblGrid>
      <w:tr w:rsidR="009E6067" w:rsidRPr="00FA0C4F" w:rsidTr="00E930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E6067" w:rsidRPr="00FA0C4F" w:rsidRDefault="009E6067" w:rsidP="00B4027D">
            <w:pPr>
              <w:rPr>
                <w:sz w:val="20"/>
              </w:rPr>
            </w:pPr>
            <w:r w:rsidRPr="00FA0C4F">
              <w:rPr>
                <w:sz w:val="20"/>
              </w:rPr>
              <w:lastRenderedPageBreak/>
              <w:t>Кристалл</w:t>
            </w:r>
          </w:p>
        </w:tc>
        <w:tc>
          <w:tcPr>
            <w:tcW w:w="4476" w:type="dxa"/>
          </w:tcPr>
          <w:p w:rsidR="009E6067" w:rsidRPr="00FA0C4F" w:rsidRDefault="009E6067" w:rsidP="00B402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A0C4F">
              <w:rPr>
                <w:sz w:val="20"/>
              </w:rPr>
              <w:t>Форма</w:t>
            </w:r>
          </w:p>
        </w:tc>
        <w:tc>
          <w:tcPr>
            <w:tcW w:w="3427" w:type="dxa"/>
          </w:tcPr>
          <w:p w:rsidR="009E6067" w:rsidRPr="00FA0C4F" w:rsidRDefault="009E6067" w:rsidP="00B402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A0C4F">
              <w:rPr>
                <w:sz w:val="20"/>
              </w:rPr>
              <w:t>Причина</w:t>
            </w:r>
          </w:p>
        </w:tc>
      </w:tr>
      <w:tr w:rsidR="009E6067" w:rsidRPr="00FA0C4F" w:rsidTr="009E6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E6067" w:rsidRPr="00FA0C4F" w:rsidRDefault="009E6067" w:rsidP="009E6067">
            <w:pPr>
              <w:jc w:val="both"/>
              <w:rPr>
                <w:color w:val="auto"/>
                <w:sz w:val="20"/>
              </w:rPr>
            </w:pPr>
            <w:proofErr w:type="spellStart"/>
            <w:r w:rsidRPr="00FA0C4F">
              <w:rPr>
                <w:color w:val="auto"/>
                <w:sz w:val="20"/>
              </w:rPr>
              <w:t>Мононатрий</w:t>
            </w:r>
            <w:proofErr w:type="spellEnd"/>
            <w:r w:rsidRPr="00FA0C4F">
              <w:rPr>
                <w:color w:val="auto"/>
                <w:sz w:val="20"/>
              </w:rPr>
              <w:t xml:space="preserve"> </w:t>
            </w:r>
            <w:proofErr w:type="spellStart"/>
            <w:r w:rsidRPr="00FA0C4F">
              <w:rPr>
                <w:color w:val="auto"/>
                <w:sz w:val="20"/>
              </w:rPr>
              <w:t>урат</w:t>
            </w:r>
            <w:proofErr w:type="spellEnd"/>
            <w:r w:rsidRPr="00FA0C4F">
              <w:rPr>
                <w:color w:val="auto"/>
                <w:sz w:val="20"/>
              </w:rPr>
              <w:t xml:space="preserve"> (</w:t>
            </w:r>
            <w:r w:rsidRPr="00FA0C4F">
              <w:rPr>
                <w:color w:val="auto"/>
                <w:sz w:val="20"/>
                <w:lang w:val="en-US"/>
              </w:rPr>
              <w:t>MSU</w:t>
            </w:r>
            <w:r w:rsidRPr="00FA0C4F">
              <w:rPr>
                <w:color w:val="auto"/>
                <w:sz w:val="20"/>
              </w:rPr>
              <w:t>)</w:t>
            </w:r>
          </w:p>
        </w:tc>
        <w:tc>
          <w:tcPr>
            <w:tcW w:w="4476" w:type="dxa"/>
            <w:vAlign w:val="center"/>
          </w:tcPr>
          <w:p w:rsidR="009E6067" w:rsidRPr="00FA0C4F" w:rsidRDefault="009E6067" w:rsidP="009E6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FA0C4F"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0315FFC" wp14:editId="613C264E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-3175</wp:posOffset>
                  </wp:positionV>
                  <wp:extent cx="1005840" cy="571500"/>
                  <wp:effectExtent l="0" t="0" r="381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0C4F">
              <w:rPr>
                <w:color w:val="auto"/>
                <w:sz w:val="20"/>
              </w:rPr>
              <w:t>Иглы</w:t>
            </w:r>
          </w:p>
        </w:tc>
        <w:tc>
          <w:tcPr>
            <w:tcW w:w="3427" w:type="dxa"/>
          </w:tcPr>
          <w:p w:rsidR="009E6067" w:rsidRPr="00FA0C4F" w:rsidRDefault="009E6067" w:rsidP="00E930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FA0C4F">
              <w:rPr>
                <w:color w:val="auto"/>
                <w:sz w:val="20"/>
              </w:rPr>
              <w:t>Подагра</w:t>
            </w:r>
          </w:p>
        </w:tc>
      </w:tr>
      <w:tr w:rsidR="009E6067" w:rsidRPr="00FA0C4F" w:rsidTr="00E93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E6067" w:rsidRPr="00FA0C4F" w:rsidRDefault="002D4420" w:rsidP="002D4420">
            <w:pPr>
              <w:jc w:val="both"/>
              <w:rPr>
                <w:color w:val="auto"/>
                <w:sz w:val="20"/>
              </w:rPr>
            </w:pPr>
            <w:proofErr w:type="spellStart"/>
            <w:r w:rsidRPr="00FA0C4F">
              <w:rPr>
                <w:color w:val="auto"/>
                <w:sz w:val="20"/>
              </w:rPr>
              <w:t>Пирофосфат</w:t>
            </w:r>
            <w:proofErr w:type="spellEnd"/>
            <w:r w:rsidRPr="00FA0C4F">
              <w:rPr>
                <w:color w:val="auto"/>
                <w:sz w:val="20"/>
              </w:rPr>
              <w:t xml:space="preserve"> кальция</w:t>
            </w:r>
          </w:p>
        </w:tc>
        <w:tc>
          <w:tcPr>
            <w:tcW w:w="4476" w:type="dxa"/>
          </w:tcPr>
          <w:p w:rsidR="009E6067" w:rsidRPr="00FA0C4F" w:rsidRDefault="002D4420" w:rsidP="002D44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FA0C4F"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B965D6B" wp14:editId="328ABEF8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-2540</wp:posOffset>
                  </wp:positionV>
                  <wp:extent cx="1007110" cy="541020"/>
                  <wp:effectExtent l="0" t="0" r="254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110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0C4F">
              <w:rPr>
                <w:color w:val="auto"/>
                <w:sz w:val="20"/>
              </w:rPr>
              <w:t>Ромбические квадраты и стержни</w:t>
            </w:r>
          </w:p>
        </w:tc>
        <w:tc>
          <w:tcPr>
            <w:tcW w:w="3427" w:type="dxa"/>
          </w:tcPr>
          <w:p w:rsidR="009E6067" w:rsidRPr="00FA0C4F" w:rsidRDefault="002D4420" w:rsidP="00E930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spellStart"/>
            <w:r w:rsidRPr="00FA0C4F">
              <w:rPr>
                <w:color w:val="auto"/>
                <w:sz w:val="20"/>
              </w:rPr>
              <w:t>Псевдоподагра</w:t>
            </w:r>
            <w:proofErr w:type="spellEnd"/>
          </w:p>
        </w:tc>
      </w:tr>
      <w:tr w:rsidR="009E6067" w:rsidRPr="00FA0C4F" w:rsidTr="00E93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E6067" w:rsidRPr="00FA0C4F" w:rsidRDefault="002D4420" w:rsidP="002D4420">
            <w:pPr>
              <w:jc w:val="both"/>
              <w:rPr>
                <w:color w:val="auto"/>
                <w:sz w:val="20"/>
              </w:rPr>
            </w:pPr>
            <w:r w:rsidRPr="00FA0C4F">
              <w:rPr>
                <w:color w:val="auto"/>
                <w:sz w:val="20"/>
              </w:rPr>
              <w:t>Холестерин</w:t>
            </w:r>
          </w:p>
        </w:tc>
        <w:tc>
          <w:tcPr>
            <w:tcW w:w="4476" w:type="dxa"/>
          </w:tcPr>
          <w:p w:rsidR="009E6067" w:rsidRPr="00FA0C4F" w:rsidRDefault="002D4420" w:rsidP="002D44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FA0C4F"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FCCF58E" wp14:editId="44F50AAC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-3175</wp:posOffset>
                  </wp:positionV>
                  <wp:extent cx="1036320" cy="579120"/>
                  <wp:effectExtent l="0" t="0" r="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0C4F">
              <w:rPr>
                <w:color w:val="auto"/>
                <w:sz w:val="20"/>
              </w:rPr>
              <w:t>Зубчатые, ромбические пластины</w:t>
            </w:r>
          </w:p>
        </w:tc>
        <w:tc>
          <w:tcPr>
            <w:tcW w:w="3427" w:type="dxa"/>
          </w:tcPr>
          <w:p w:rsidR="009E6067" w:rsidRPr="00FA0C4F" w:rsidRDefault="002D4420" w:rsidP="00E930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FA0C4F">
              <w:rPr>
                <w:color w:val="auto"/>
                <w:sz w:val="20"/>
              </w:rPr>
              <w:t>Высокий уровень холестерина в крови</w:t>
            </w:r>
          </w:p>
        </w:tc>
      </w:tr>
      <w:tr w:rsidR="009E6067" w:rsidRPr="00FA0C4F" w:rsidTr="00E93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E6067" w:rsidRPr="00FA0C4F" w:rsidRDefault="002D4420" w:rsidP="002D4420">
            <w:pPr>
              <w:jc w:val="both"/>
              <w:rPr>
                <w:color w:val="auto"/>
                <w:sz w:val="20"/>
              </w:rPr>
            </w:pPr>
            <w:r w:rsidRPr="00FA0C4F">
              <w:rPr>
                <w:color w:val="auto"/>
                <w:sz w:val="20"/>
              </w:rPr>
              <w:t>Кортикостероид</w:t>
            </w:r>
          </w:p>
        </w:tc>
        <w:tc>
          <w:tcPr>
            <w:tcW w:w="4476" w:type="dxa"/>
          </w:tcPr>
          <w:p w:rsidR="009E6067" w:rsidRPr="00FA0C4F" w:rsidRDefault="002D4420" w:rsidP="002D44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FA0C4F"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7A74A45" wp14:editId="37D8EE1E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-3175</wp:posOffset>
                  </wp:positionV>
                  <wp:extent cx="1082040" cy="617220"/>
                  <wp:effectExtent l="0" t="0" r="381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0C4F">
              <w:rPr>
                <w:color w:val="auto"/>
                <w:sz w:val="20"/>
              </w:rPr>
              <w:t>Плоские пластины различной формы</w:t>
            </w:r>
          </w:p>
        </w:tc>
        <w:tc>
          <w:tcPr>
            <w:tcW w:w="3427" w:type="dxa"/>
          </w:tcPr>
          <w:p w:rsidR="009E6067" w:rsidRPr="00FA0C4F" w:rsidRDefault="002D4420" w:rsidP="00E930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FA0C4F">
              <w:rPr>
                <w:color w:val="auto"/>
                <w:sz w:val="20"/>
              </w:rPr>
              <w:t>Инъекции</w:t>
            </w:r>
          </w:p>
        </w:tc>
      </w:tr>
      <w:tr w:rsidR="009E6067" w:rsidRPr="00FA0C4F" w:rsidTr="00E93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E6067" w:rsidRPr="00FA0C4F" w:rsidRDefault="002D4420" w:rsidP="002D4420">
            <w:pPr>
              <w:jc w:val="both"/>
              <w:rPr>
                <w:color w:val="auto"/>
                <w:sz w:val="20"/>
              </w:rPr>
            </w:pPr>
            <w:r w:rsidRPr="00FA0C4F">
              <w:rPr>
                <w:color w:val="auto"/>
                <w:sz w:val="20"/>
              </w:rPr>
              <w:t>Оксалат кальция</w:t>
            </w:r>
          </w:p>
        </w:tc>
        <w:tc>
          <w:tcPr>
            <w:tcW w:w="4476" w:type="dxa"/>
          </w:tcPr>
          <w:p w:rsidR="009E6067" w:rsidRPr="00FA0C4F" w:rsidRDefault="002D4420" w:rsidP="002D44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FA0C4F"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1833BF74" wp14:editId="144494B8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-3175</wp:posOffset>
                  </wp:positionV>
                  <wp:extent cx="1135380" cy="601980"/>
                  <wp:effectExtent l="0" t="0" r="7620" b="762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0C4F">
              <w:rPr>
                <w:color w:val="auto"/>
                <w:sz w:val="20"/>
              </w:rPr>
              <w:t xml:space="preserve"> Конверты</w:t>
            </w:r>
          </w:p>
        </w:tc>
        <w:tc>
          <w:tcPr>
            <w:tcW w:w="3427" w:type="dxa"/>
          </w:tcPr>
          <w:p w:rsidR="009E6067" w:rsidRPr="00FA0C4F" w:rsidRDefault="002D4420" w:rsidP="00E930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FA0C4F">
              <w:rPr>
                <w:color w:val="auto"/>
                <w:sz w:val="20"/>
              </w:rPr>
              <w:t>Почечный диализ</w:t>
            </w:r>
          </w:p>
        </w:tc>
      </w:tr>
      <w:tr w:rsidR="009E6067" w:rsidRPr="00FA0C4F" w:rsidTr="00E93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E6067" w:rsidRPr="00FA0C4F" w:rsidRDefault="002D4420" w:rsidP="002D4420">
            <w:pPr>
              <w:jc w:val="both"/>
              <w:rPr>
                <w:color w:val="auto"/>
                <w:sz w:val="20"/>
              </w:rPr>
            </w:pPr>
            <w:r w:rsidRPr="00FA0C4F">
              <w:rPr>
                <w:color w:val="auto"/>
                <w:sz w:val="20"/>
              </w:rPr>
              <w:t>Апатит (фосфат кальция)</w:t>
            </w:r>
          </w:p>
        </w:tc>
        <w:tc>
          <w:tcPr>
            <w:tcW w:w="4476" w:type="dxa"/>
          </w:tcPr>
          <w:p w:rsidR="009E6067" w:rsidRPr="00FA0C4F" w:rsidRDefault="002D4420" w:rsidP="002D44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FA0C4F"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260A0693" wp14:editId="69AB03ED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-8750935</wp:posOffset>
                  </wp:positionV>
                  <wp:extent cx="1135380" cy="594360"/>
                  <wp:effectExtent l="0" t="0" r="7620" b="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0C4F">
              <w:rPr>
                <w:color w:val="auto"/>
                <w:sz w:val="20"/>
              </w:rPr>
              <w:t xml:space="preserve"> Мелкие частицы</w:t>
            </w:r>
          </w:p>
          <w:p w:rsidR="002D4420" w:rsidRPr="00FA0C4F" w:rsidRDefault="002D4420" w:rsidP="002D44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3427" w:type="dxa"/>
          </w:tcPr>
          <w:p w:rsidR="009E6067" w:rsidRPr="00FA0C4F" w:rsidRDefault="002D4420" w:rsidP="00E930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spellStart"/>
            <w:r w:rsidRPr="00FA0C4F">
              <w:rPr>
                <w:color w:val="auto"/>
                <w:sz w:val="20"/>
              </w:rPr>
              <w:t>Остеоартроз</w:t>
            </w:r>
            <w:proofErr w:type="spellEnd"/>
          </w:p>
        </w:tc>
      </w:tr>
    </w:tbl>
    <w:p w:rsidR="009E6067" w:rsidRDefault="009E6067" w:rsidP="008B5416">
      <w:pPr>
        <w:spacing w:after="0"/>
        <w:jc w:val="both"/>
      </w:pPr>
    </w:p>
    <w:p w:rsidR="00FA0C4F" w:rsidRDefault="00FA0C4F" w:rsidP="008B5416">
      <w:pPr>
        <w:spacing w:after="0"/>
        <w:jc w:val="both"/>
        <w:sectPr w:rsidR="00FA0C4F" w:rsidSect="00397E0E">
          <w:type w:val="continuous"/>
          <w:pgSz w:w="11906" w:h="16838"/>
          <w:pgMar w:top="1134" w:right="850" w:bottom="1134" w:left="993" w:header="708" w:footer="708" w:gutter="0"/>
          <w:cols w:space="283"/>
          <w:docGrid w:linePitch="360"/>
        </w:sectPr>
      </w:pPr>
    </w:p>
    <w:p w:rsidR="00333B40" w:rsidRDefault="00333B40" w:rsidP="008B5416">
      <w:pPr>
        <w:spacing w:after="0"/>
        <w:jc w:val="both"/>
        <w:rPr>
          <w:b/>
          <w:color w:val="548DD4" w:themeColor="text2" w:themeTint="99"/>
        </w:rPr>
      </w:pPr>
    </w:p>
    <w:p w:rsidR="00333B40" w:rsidRDefault="00333B40" w:rsidP="008B5416">
      <w:pPr>
        <w:spacing w:after="0"/>
        <w:jc w:val="both"/>
        <w:rPr>
          <w:b/>
          <w:color w:val="548DD4" w:themeColor="text2" w:themeTint="99"/>
        </w:rPr>
      </w:pPr>
    </w:p>
    <w:p w:rsidR="00333B40" w:rsidRDefault="00333B40" w:rsidP="008B5416">
      <w:pPr>
        <w:spacing w:after="0"/>
        <w:jc w:val="both"/>
        <w:rPr>
          <w:b/>
          <w:color w:val="548DD4" w:themeColor="text2" w:themeTint="99"/>
        </w:rPr>
      </w:pPr>
    </w:p>
    <w:p w:rsidR="00FA0C4F" w:rsidRDefault="00FA0C4F" w:rsidP="008B5416">
      <w:pPr>
        <w:spacing w:after="0"/>
        <w:jc w:val="both"/>
        <w:rPr>
          <w:b/>
          <w:color w:val="548DD4" w:themeColor="text2" w:themeTint="99"/>
        </w:rPr>
      </w:pPr>
      <w:r w:rsidRPr="00FA0C4F">
        <w:rPr>
          <w:b/>
          <w:color w:val="548DD4" w:themeColor="text2" w:themeTint="99"/>
        </w:rPr>
        <w:lastRenderedPageBreak/>
        <w:t>3. Химический анализ: глюкоза, белок, мочевая кислота</w:t>
      </w:r>
      <w:r>
        <w:rPr>
          <w:b/>
          <w:color w:val="548DD4" w:themeColor="text2" w:themeTint="99"/>
        </w:rPr>
        <w:t xml:space="preserve"> </w:t>
      </w:r>
    </w:p>
    <w:p w:rsidR="00333B40" w:rsidRDefault="00333B40" w:rsidP="008B5416">
      <w:pPr>
        <w:spacing w:after="0"/>
        <w:jc w:val="both"/>
        <w:rPr>
          <w:b/>
          <w:color w:val="548DD4" w:themeColor="text2" w:themeTint="99"/>
        </w:rPr>
      </w:pPr>
    </w:p>
    <w:p w:rsidR="00FA0C4F" w:rsidRDefault="00FA0C4F" w:rsidP="008B5416">
      <w:pPr>
        <w:spacing w:after="0"/>
        <w:jc w:val="both"/>
      </w:pPr>
      <w:r w:rsidRPr="00FA0C4F">
        <w:t>Наиболее часто запрашиваемым тестом является определение глюкозы, так как значительно</w:t>
      </w:r>
      <w:r>
        <w:t>е</w:t>
      </w:r>
      <w:r w:rsidRPr="00FA0C4F">
        <w:t xml:space="preserve"> снижен</w:t>
      </w:r>
      <w:r>
        <w:t>ие</w:t>
      </w:r>
      <w:r w:rsidRPr="00FA0C4F">
        <w:t xml:space="preserve"> значения указыва</w:t>
      </w:r>
      <w:r>
        <w:t>е</w:t>
      </w:r>
      <w:r w:rsidRPr="00FA0C4F">
        <w:t xml:space="preserve">т на воспалительные или септические расстройства. Поскольку в нормальных условиях уровень глюкозы в синовиальной жидкости связан с уровнем глюкозы в крови, образцы крови и синовиальной жидкости следует брать одновременно, желательно после того, как пациент голодал в течение восьми часов, чтобы обеспечить уравновешивание между двумя жидкостями. В этих условиях нормальный уровень глюкозы в синовиальной жидкости не должен быть более чем на 10 мг / </w:t>
      </w:r>
      <w:proofErr w:type="spellStart"/>
      <w:r w:rsidRPr="00FA0C4F">
        <w:t>дл</w:t>
      </w:r>
      <w:proofErr w:type="spellEnd"/>
      <w:r w:rsidRPr="00FA0C4F">
        <w:t xml:space="preserve"> ниже значения в плазме. Чтобы предотвратить ложное снижение значений, вызванное гликолизом, образцы следует анализировать в течение одного часа после сбора или консервировать фторидом натрия [6].</w:t>
      </w:r>
    </w:p>
    <w:p w:rsidR="00FA0C4F" w:rsidRDefault="00FA0C4F" w:rsidP="008B5416">
      <w:pPr>
        <w:spacing w:after="0"/>
        <w:jc w:val="both"/>
      </w:pPr>
    </w:p>
    <w:p w:rsidR="00FA0C4F" w:rsidRPr="00FA0C4F" w:rsidRDefault="00FA0C4F" w:rsidP="008B5416">
      <w:pPr>
        <w:spacing w:after="0"/>
        <w:jc w:val="both"/>
      </w:pPr>
      <w:r w:rsidRPr="00FA0C4F">
        <w:t xml:space="preserve">Синовиальная жидкость содержит все белки плазмы, за исключением различных высокомолекулярных белков, таких как фибриноген, бета-2-макроглобулин и альфа-2-макроглобулин. Для измерения белка синовиальной жидкости можно использовать наиболее часто используемые </w:t>
      </w:r>
      <w:r>
        <w:t>методы</w:t>
      </w:r>
      <w:r w:rsidRPr="00FA0C4F">
        <w:t xml:space="preserve"> определения сывороточного белка. Диапазон белка синовиальной жидкости составляет 1–3 г / </w:t>
      </w:r>
      <w:proofErr w:type="spellStart"/>
      <w:r w:rsidRPr="00FA0C4F">
        <w:t>дл</w:t>
      </w:r>
      <w:proofErr w:type="spellEnd"/>
      <w:r w:rsidRPr="00FA0C4F">
        <w:t xml:space="preserve"> [6]. Повышенный уровень белка обнаруживается при воспалительных и геморрагических расстройствах; тем не менее, измерение содержания белка в синовиальной жидкости не оказывает большого влияния на классификацию этих заболеваний.</w:t>
      </w:r>
    </w:p>
    <w:p w:rsidR="00FA0C4F" w:rsidRDefault="00FA0C4F" w:rsidP="008B5416">
      <w:pPr>
        <w:spacing w:after="0"/>
        <w:jc w:val="both"/>
      </w:pPr>
      <w:r w:rsidRPr="00FA0C4F">
        <w:t>Хорошо известен повышенный уровень мочевой кислоты в сыворотке крови при подагре; поэтому демонстрация повышенного уровня мочевой кислоты в синовиальной жидкости может использоваться для подтверждения диагноза, когда присутствие кристаллов в жидкости не может быть продемонстрировано. Измерение мочевой кислоты в сыворотке часто проводится в качестве первого обследования при подозрении на подагру.</w:t>
      </w:r>
    </w:p>
    <w:p w:rsidR="00FA0C4F" w:rsidRDefault="00FA0C4F" w:rsidP="008B5416">
      <w:pPr>
        <w:spacing w:after="0"/>
        <w:jc w:val="both"/>
      </w:pPr>
    </w:p>
    <w:p w:rsidR="00FA0C4F" w:rsidRDefault="00260594" w:rsidP="008B5416">
      <w:pPr>
        <w:spacing w:after="0"/>
        <w:jc w:val="both"/>
      </w:pPr>
      <w:r>
        <w:lastRenderedPageBreak/>
        <w:t xml:space="preserve">Всем известно, что при подагре </w:t>
      </w:r>
      <w:r w:rsidRPr="00FA0C4F">
        <w:t>уровень мочевой кислоты в сыворотке крови</w:t>
      </w:r>
      <w:r>
        <w:t xml:space="preserve"> п</w:t>
      </w:r>
      <w:r w:rsidR="00FA0C4F" w:rsidRPr="00FA0C4F">
        <w:t xml:space="preserve">овышен; поэтому </w:t>
      </w:r>
      <w:r>
        <w:t>регистрация</w:t>
      </w:r>
      <w:r w:rsidR="00FA0C4F" w:rsidRPr="00FA0C4F">
        <w:t xml:space="preserve"> повышенного уровня мочевой кислоты в синовиальной жидкости может использоваться для подтверждения диагноза, когда присутствие кристаллов в жидкости не может быть </w:t>
      </w:r>
      <w:r>
        <w:t>определено</w:t>
      </w:r>
      <w:r w:rsidR="00FA0C4F" w:rsidRPr="00FA0C4F">
        <w:t>. Измерение мочевой кислоты в сыворотке часто проводится в качестве первого обследования при подозрении на подагру.</w:t>
      </w:r>
    </w:p>
    <w:p w:rsidR="00260594" w:rsidRDefault="00260594" w:rsidP="008B5416">
      <w:pPr>
        <w:spacing w:after="0"/>
        <w:jc w:val="both"/>
      </w:pPr>
    </w:p>
    <w:p w:rsidR="00260594" w:rsidRPr="00260594" w:rsidRDefault="00260594" w:rsidP="00260594">
      <w:pPr>
        <w:spacing w:after="0"/>
        <w:jc w:val="both"/>
        <w:rPr>
          <w:b/>
        </w:rPr>
      </w:pPr>
      <w:r w:rsidRPr="00260594">
        <w:rPr>
          <w:b/>
          <w:color w:val="548DD4" w:themeColor="text2" w:themeTint="99"/>
        </w:rPr>
        <w:t>4. Микробиологические тесты [6]</w:t>
      </w:r>
    </w:p>
    <w:p w:rsidR="00260594" w:rsidRDefault="00260594" w:rsidP="00260594">
      <w:pPr>
        <w:spacing w:after="0"/>
        <w:jc w:val="both"/>
      </w:pPr>
    </w:p>
    <w:p w:rsidR="00260594" w:rsidRDefault="00260594" w:rsidP="00260594">
      <w:pPr>
        <w:spacing w:after="0"/>
        <w:jc w:val="both"/>
      </w:pPr>
      <w:r>
        <w:t xml:space="preserve">Инфекция может возникать как вторичное осложнение воспаления, вызванного травмой или распространением системной инфекции; таким образом, окраска по </w:t>
      </w:r>
      <w:proofErr w:type="spellStart"/>
      <w:r>
        <w:t>Граму</w:t>
      </w:r>
      <w:proofErr w:type="spellEnd"/>
      <w:r>
        <w:t xml:space="preserve"> и посевы являются двумя наиболее важными тестами, выполняемыми на синовиальной жидкости. На всех образцах должны быть выполнены оба теста, потому что некоторые организмы будут пропущены, если будет выполнено только окрашивание по </w:t>
      </w:r>
      <w:proofErr w:type="spellStart"/>
      <w:r>
        <w:t>Граму</w:t>
      </w:r>
      <w:proofErr w:type="spellEnd"/>
      <w:r>
        <w:t>. Чаще всего встречаются бактериальные инфекции; однако также могут возникать грибковые и вирусные инфекции. При подозрении на них следует использовать специальные процедуры культивирования. История болезни и другие симптомы могут помочь в запросе дополнительных анализов.</w:t>
      </w:r>
    </w:p>
    <w:p w:rsidR="00260594" w:rsidRDefault="00260594" w:rsidP="00260594">
      <w:pPr>
        <w:spacing w:after="0"/>
        <w:jc w:val="both"/>
      </w:pPr>
    </w:p>
    <w:p w:rsidR="00260594" w:rsidRPr="00FA0C4F" w:rsidRDefault="00260594" w:rsidP="00260594">
      <w:pPr>
        <w:spacing w:after="0"/>
        <w:jc w:val="both"/>
      </w:pPr>
      <w:r>
        <w:t xml:space="preserve">Обычные бактериальные культуры должны включать обогащающую среду, такую как </w:t>
      </w:r>
      <w:proofErr w:type="gramStart"/>
      <w:r>
        <w:t>шоколадный</w:t>
      </w:r>
      <w:proofErr w:type="gramEnd"/>
      <w:r>
        <w:t xml:space="preserve"> </w:t>
      </w:r>
      <w:proofErr w:type="spellStart"/>
      <w:r>
        <w:t>агар</w:t>
      </w:r>
      <w:proofErr w:type="spellEnd"/>
      <w:r>
        <w:t xml:space="preserve">, потому что, помимо стафилококков и стрептококков, распространенными микроорганизмами, поражающими синовиальную жидкость, являются привередливые виды </w:t>
      </w:r>
      <w:proofErr w:type="spellStart"/>
      <w:r w:rsidRPr="00260594">
        <w:rPr>
          <w:i/>
        </w:rPr>
        <w:t>Haemophilus</w:t>
      </w:r>
      <w:proofErr w:type="spellEnd"/>
      <w:r>
        <w:t xml:space="preserve"> и </w:t>
      </w:r>
      <w:proofErr w:type="spellStart"/>
      <w:r w:rsidRPr="00260594">
        <w:rPr>
          <w:i/>
        </w:rPr>
        <w:t>Neisseria</w:t>
      </w:r>
      <w:proofErr w:type="spellEnd"/>
      <w:r w:rsidRPr="00260594">
        <w:rPr>
          <w:i/>
        </w:rPr>
        <w:t xml:space="preserve"> </w:t>
      </w:r>
      <w:proofErr w:type="spellStart"/>
      <w:r w:rsidRPr="00260594">
        <w:rPr>
          <w:i/>
        </w:rPr>
        <w:t>gonorrhoeae</w:t>
      </w:r>
      <w:proofErr w:type="spellEnd"/>
      <w:r w:rsidRPr="00260594">
        <w:t>.</w:t>
      </w:r>
    </w:p>
    <w:p w:rsidR="00251F58" w:rsidRPr="00FA0C4F" w:rsidRDefault="00251F58" w:rsidP="00900C49">
      <w:pPr>
        <w:spacing w:after="0"/>
        <w:jc w:val="both"/>
      </w:pPr>
    </w:p>
    <w:p w:rsidR="00260D9B" w:rsidRPr="00260D9B" w:rsidRDefault="00260D9B" w:rsidP="00260D9B">
      <w:pPr>
        <w:spacing w:after="0"/>
        <w:jc w:val="both"/>
        <w:rPr>
          <w:b/>
        </w:rPr>
      </w:pPr>
      <w:r w:rsidRPr="00260D9B">
        <w:rPr>
          <w:b/>
          <w:color w:val="548DD4" w:themeColor="text2" w:themeTint="99"/>
        </w:rPr>
        <w:t>5. Серологические тесты [6]</w:t>
      </w:r>
    </w:p>
    <w:p w:rsidR="00260D9B" w:rsidRDefault="00260D9B" w:rsidP="00260D9B">
      <w:pPr>
        <w:spacing w:after="0"/>
        <w:jc w:val="both"/>
      </w:pPr>
    </w:p>
    <w:p w:rsidR="00251F58" w:rsidRDefault="00260D9B" w:rsidP="00260D9B">
      <w:pPr>
        <w:spacing w:after="0"/>
        <w:jc w:val="both"/>
      </w:pPr>
      <w:r>
        <w:t xml:space="preserve">Поскольку заболевания суставов часто имеют иммунологический компонент, серологическое тестирование играет важную роль в их диагностике. Однако большинство тестов проводится на сыворотке крови, а фактический анализ синовиальной жидкости служит лишь подтверждающей мерой в случаях, которые трудно </w:t>
      </w:r>
      <w:r>
        <w:lastRenderedPageBreak/>
        <w:t xml:space="preserve">диагностировать. Аутоиммунные заболевания, в частности, ревматоидный артрит и красная волчанка, вызывают очень серьезное воспаление суставов и диагностируются путем определения наличия специфических </w:t>
      </w:r>
      <w:proofErr w:type="spellStart"/>
      <w:r>
        <w:t>аутоантител</w:t>
      </w:r>
      <w:proofErr w:type="spellEnd"/>
      <w:r>
        <w:t xml:space="preserve"> в сыворотке крови пациента. При необходимости те же антитела можно определить в синовиальной жидкости. Артрит - частое осложнение болезни Лайма. Таким образом, наличие антител к возбудителю </w:t>
      </w:r>
      <w:proofErr w:type="spellStart"/>
      <w:r w:rsidRPr="00260D9B">
        <w:rPr>
          <w:i/>
        </w:rPr>
        <w:t>Borrelia</w:t>
      </w:r>
      <w:proofErr w:type="spellEnd"/>
      <w:r w:rsidRPr="00260D9B">
        <w:rPr>
          <w:i/>
        </w:rPr>
        <w:t xml:space="preserve"> </w:t>
      </w:r>
      <w:proofErr w:type="spellStart"/>
      <w:r w:rsidRPr="00260D9B">
        <w:rPr>
          <w:i/>
        </w:rPr>
        <w:t>burgdorferi</w:t>
      </w:r>
      <w:proofErr w:type="spellEnd"/>
      <w:r>
        <w:t xml:space="preserve"> в сыворотке крови пациента может подтвердить эту причину артрита. Степень воспаления можно определить путем измерения концентрации реагентов острой фазы, таких как фибриноген и </w:t>
      </w:r>
      <w:proofErr w:type="gramStart"/>
      <w:r>
        <w:t>С-реактивный</w:t>
      </w:r>
      <w:proofErr w:type="gramEnd"/>
      <w:r>
        <w:t xml:space="preserve"> белок (CRP).</w:t>
      </w:r>
    </w:p>
    <w:p w:rsidR="00260D9B" w:rsidRDefault="00260D9B" w:rsidP="00260D9B">
      <w:pPr>
        <w:spacing w:after="0"/>
        <w:jc w:val="both"/>
      </w:pPr>
    </w:p>
    <w:p w:rsidR="00260D9B" w:rsidRDefault="00260D9B" w:rsidP="00260D9B">
      <w:pPr>
        <w:spacing w:after="0"/>
        <w:jc w:val="both"/>
      </w:pPr>
    </w:p>
    <w:p w:rsidR="00260D9B" w:rsidRPr="00260D9B" w:rsidRDefault="00260D9B" w:rsidP="00260D9B">
      <w:pPr>
        <w:shd w:val="clear" w:color="auto" w:fill="C6D9F1" w:themeFill="text2" w:themeFillTint="33"/>
        <w:spacing w:after="0"/>
        <w:jc w:val="both"/>
        <w:rPr>
          <w:b/>
          <w:color w:val="548DD4" w:themeColor="text2" w:themeTint="99"/>
          <w:sz w:val="28"/>
        </w:rPr>
      </w:pPr>
      <w:r w:rsidRPr="00260D9B">
        <w:rPr>
          <w:b/>
          <w:color w:val="548DD4" w:themeColor="text2" w:themeTint="99"/>
          <w:sz w:val="28"/>
        </w:rPr>
        <w:t>Выводы</w:t>
      </w:r>
    </w:p>
    <w:p w:rsidR="00260D9B" w:rsidRDefault="00260D9B" w:rsidP="00260D9B">
      <w:pPr>
        <w:shd w:val="clear" w:color="auto" w:fill="C6D9F1" w:themeFill="text2" w:themeFillTint="33"/>
        <w:spacing w:after="0"/>
        <w:jc w:val="both"/>
      </w:pPr>
    </w:p>
    <w:p w:rsidR="00260D9B" w:rsidRDefault="00260D9B" w:rsidP="00260D9B">
      <w:pPr>
        <w:shd w:val="clear" w:color="auto" w:fill="C6D9F1" w:themeFill="text2" w:themeFillTint="33"/>
        <w:spacing w:after="0"/>
        <w:jc w:val="both"/>
      </w:pPr>
      <w:r>
        <w:t>Лабораторные исследования синовиальной жидкости сложны и требуют квалифицированного персонала. Низкие стандарты анализа синовиальной жидкости могут быть частично связаны с тем, что он не включен в стандартные патологические службы, а также из-за относительно низкой производительности таких образцов в большинстве отделений.</w:t>
      </w:r>
    </w:p>
    <w:p w:rsidR="00260D9B" w:rsidRDefault="00260D9B" w:rsidP="00260D9B">
      <w:pPr>
        <w:shd w:val="clear" w:color="auto" w:fill="C6D9F1" w:themeFill="text2" w:themeFillTint="33"/>
        <w:spacing w:after="0"/>
        <w:jc w:val="both"/>
      </w:pPr>
    </w:p>
    <w:p w:rsidR="00260D9B" w:rsidRDefault="00260D9B" w:rsidP="00260D9B">
      <w:pPr>
        <w:shd w:val="clear" w:color="auto" w:fill="C6D9F1" w:themeFill="text2" w:themeFillTint="33"/>
        <w:spacing w:after="0"/>
        <w:jc w:val="both"/>
      </w:pPr>
      <w:r>
        <w:t xml:space="preserve">Автоматизация лабораторных процедур может способствовать повышению стандартизации результатов тестирования и сокращению не только времени обработки, но и ошибок </w:t>
      </w:r>
      <w:r w:rsidR="008C0DD0">
        <w:t>расшифровки</w:t>
      </w:r>
      <w:r>
        <w:t xml:space="preserve"> [3, 4, 7].</w:t>
      </w:r>
    </w:p>
    <w:p w:rsidR="00260D9B" w:rsidRDefault="00260D9B" w:rsidP="00260D9B">
      <w:pPr>
        <w:spacing w:after="0"/>
        <w:jc w:val="both"/>
      </w:pPr>
    </w:p>
    <w:p w:rsidR="008C0DD0" w:rsidRPr="008C0DD0" w:rsidRDefault="008C0DD0" w:rsidP="00260D9B">
      <w:pPr>
        <w:spacing w:after="0"/>
        <w:jc w:val="both"/>
        <w:rPr>
          <w:b/>
          <w:color w:val="548DD4" w:themeColor="text2" w:themeTint="99"/>
          <w:sz w:val="28"/>
        </w:rPr>
      </w:pPr>
      <w:r w:rsidRPr="008C0DD0">
        <w:rPr>
          <w:b/>
          <w:color w:val="548DD4" w:themeColor="text2" w:themeTint="99"/>
          <w:sz w:val="28"/>
        </w:rPr>
        <w:t>Использованная литература</w:t>
      </w:r>
    </w:p>
    <w:p w:rsidR="008C0DD0" w:rsidRDefault="008C0DD0" w:rsidP="00260D9B">
      <w:pPr>
        <w:spacing w:after="0"/>
        <w:jc w:val="both"/>
      </w:pPr>
    </w:p>
    <w:p w:rsidR="008C0DD0" w:rsidRPr="002525F3" w:rsidRDefault="008C0DD0" w:rsidP="00260D9B">
      <w:pPr>
        <w:spacing w:after="0"/>
        <w:jc w:val="both"/>
        <w:rPr>
          <w:lang w:val="en-US"/>
        </w:rPr>
      </w:pPr>
      <w:r w:rsidRPr="008C0DD0">
        <w:rPr>
          <w:lang w:val="en-US"/>
        </w:rPr>
        <w:t xml:space="preserve">[1] Clinical and Laboratory Standards Institute (2006): Body Fluid Analysis for Cellular Composition. </w:t>
      </w:r>
      <w:proofErr w:type="gramStart"/>
      <w:r w:rsidRPr="008C0DD0">
        <w:rPr>
          <w:lang w:val="en-US"/>
        </w:rPr>
        <w:t>Approved Guideline.</w:t>
      </w:r>
      <w:proofErr w:type="gramEnd"/>
      <w:r w:rsidRPr="008C0DD0">
        <w:rPr>
          <w:lang w:val="en-US"/>
        </w:rPr>
        <w:t xml:space="preserve"> CLSI document H56-A [ISBN: 1-56238-614-X]. </w:t>
      </w:r>
    </w:p>
    <w:p w:rsidR="008C0DD0" w:rsidRPr="002525F3" w:rsidRDefault="008C0DD0" w:rsidP="00260D9B">
      <w:pPr>
        <w:spacing w:after="0"/>
        <w:jc w:val="both"/>
        <w:rPr>
          <w:lang w:val="en-US"/>
        </w:rPr>
      </w:pPr>
      <w:r w:rsidRPr="008C0DD0">
        <w:rPr>
          <w:lang w:val="en-US"/>
        </w:rPr>
        <w:t xml:space="preserve">[2] </w:t>
      </w:r>
      <w:proofErr w:type="spellStart"/>
      <w:r w:rsidRPr="008C0DD0">
        <w:rPr>
          <w:lang w:val="en-US"/>
        </w:rPr>
        <w:t>Kerolus</w:t>
      </w:r>
      <w:proofErr w:type="spellEnd"/>
      <w:r w:rsidRPr="008C0DD0">
        <w:rPr>
          <w:lang w:val="en-US"/>
        </w:rPr>
        <w:t xml:space="preserve"> G et al. (1989): Is it mandatory to examine synovial fluids promptly after arthrocentesis? </w:t>
      </w:r>
      <w:proofErr w:type="gramStart"/>
      <w:r w:rsidRPr="008C0DD0">
        <w:rPr>
          <w:lang w:val="en-US"/>
        </w:rPr>
        <w:t>Arthritis and Rheumatism.</w:t>
      </w:r>
      <w:proofErr w:type="gramEnd"/>
      <w:r w:rsidRPr="008C0DD0">
        <w:rPr>
          <w:lang w:val="en-US"/>
        </w:rPr>
        <w:t xml:space="preserve"> </w:t>
      </w:r>
      <w:proofErr w:type="gramStart"/>
      <w:r w:rsidRPr="008C0DD0">
        <w:rPr>
          <w:lang w:val="en-US"/>
        </w:rPr>
        <w:t>32 :</w:t>
      </w:r>
      <w:proofErr w:type="gramEnd"/>
      <w:r w:rsidRPr="008C0DD0">
        <w:rPr>
          <w:lang w:val="en-US"/>
        </w:rPr>
        <w:t xml:space="preserve"> 271 – 78. </w:t>
      </w:r>
    </w:p>
    <w:p w:rsidR="008C0DD0" w:rsidRPr="002525F3" w:rsidRDefault="008C0DD0" w:rsidP="00260D9B">
      <w:pPr>
        <w:spacing w:after="0"/>
        <w:jc w:val="both"/>
        <w:rPr>
          <w:lang w:val="en-US"/>
        </w:rPr>
      </w:pPr>
      <w:proofErr w:type="gramStart"/>
      <w:r w:rsidRPr="008C0DD0">
        <w:rPr>
          <w:lang w:val="en-US"/>
        </w:rPr>
        <w:t>[3] Paris A et al.</w:t>
      </w:r>
      <w:proofErr w:type="gramEnd"/>
      <w:r w:rsidRPr="008C0DD0">
        <w:rPr>
          <w:lang w:val="en-US"/>
        </w:rPr>
        <w:t xml:space="preserve"> (2010): Performance evaluation of the body fluid mode on the platform </w:t>
      </w:r>
      <w:proofErr w:type="spellStart"/>
      <w:r w:rsidRPr="008C0DD0">
        <w:rPr>
          <w:lang w:val="en-US"/>
        </w:rPr>
        <w:t>Sysmex</w:t>
      </w:r>
      <w:proofErr w:type="spellEnd"/>
      <w:r w:rsidRPr="008C0DD0">
        <w:rPr>
          <w:lang w:val="en-US"/>
        </w:rPr>
        <w:t xml:space="preserve"> XE-5000 </w:t>
      </w:r>
      <w:r w:rsidRPr="008C0DD0">
        <w:rPr>
          <w:lang w:val="en-US"/>
        </w:rPr>
        <w:lastRenderedPageBreak/>
        <w:t xml:space="preserve">series automated hematology analyzer. </w:t>
      </w:r>
      <w:proofErr w:type="spellStart"/>
      <w:proofErr w:type="gramStart"/>
      <w:r w:rsidRPr="008C0DD0">
        <w:rPr>
          <w:lang w:val="en-US"/>
        </w:rPr>
        <w:t>Int</w:t>
      </w:r>
      <w:proofErr w:type="spellEnd"/>
      <w:r w:rsidRPr="008C0DD0">
        <w:rPr>
          <w:lang w:val="en-US"/>
        </w:rPr>
        <w:t xml:space="preserve"> J Lab </w:t>
      </w:r>
      <w:proofErr w:type="spellStart"/>
      <w:r w:rsidRPr="008C0DD0">
        <w:rPr>
          <w:lang w:val="en-US"/>
        </w:rPr>
        <w:t>Hematol</w:t>
      </w:r>
      <w:proofErr w:type="spellEnd"/>
      <w:r w:rsidRPr="008C0DD0">
        <w:rPr>
          <w:lang w:val="en-US"/>
        </w:rPr>
        <w:t>.</w:t>
      </w:r>
      <w:proofErr w:type="gramEnd"/>
      <w:r w:rsidRPr="008C0DD0">
        <w:rPr>
          <w:lang w:val="en-US"/>
        </w:rPr>
        <w:t xml:space="preserve"> </w:t>
      </w:r>
      <w:proofErr w:type="gramStart"/>
      <w:r w:rsidRPr="008C0DD0">
        <w:rPr>
          <w:lang w:val="en-US"/>
        </w:rPr>
        <w:t>32:539.</w:t>
      </w:r>
      <w:proofErr w:type="gramEnd"/>
      <w:r w:rsidRPr="008C0DD0">
        <w:rPr>
          <w:lang w:val="en-US"/>
        </w:rPr>
        <w:t xml:space="preserve"> </w:t>
      </w:r>
    </w:p>
    <w:p w:rsidR="008C0DD0" w:rsidRPr="002525F3" w:rsidRDefault="008C0DD0" w:rsidP="00260D9B">
      <w:pPr>
        <w:spacing w:after="0"/>
        <w:jc w:val="both"/>
        <w:rPr>
          <w:lang w:val="en-US"/>
        </w:rPr>
      </w:pPr>
      <w:r w:rsidRPr="008C0DD0">
        <w:rPr>
          <w:lang w:val="en-US"/>
        </w:rPr>
        <w:t xml:space="preserve">[4] Fleming C et al. (2015): Clinical relevance and contemporary methods for counting blood cells in body fluids suspected of inflammatory disease. </w:t>
      </w:r>
      <w:proofErr w:type="spellStart"/>
      <w:r w:rsidRPr="008C0DD0">
        <w:rPr>
          <w:lang w:val="en-US"/>
        </w:rPr>
        <w:t>Clin</w:t>
      </w:r>
      <w:proofErr w:type="spellEnd"/>
      <w:r w:rsidRPr="008C0DD0">
        <w:rPr>
          <w:lang w:val="en-US"/>
        </w:rPr>
        <w:t xml:space="preserve"> </w:t>
      </w:r>
      <w:proofErr w:type="spellStart"/>
      <w:r w:rsidRPr="008C0DD0">
        <w:rPr>
          <w:lang w:val="en-US"/>
        </w:rPr>
        <w:t>Chem</w:t>
      </w:r>
      <w:proofErr w:type="spellEnd"/>
      <w:r w:rsidRPr="008C0DD0">
        <w:rPr>
          <w:lang w:val="en-US"/>
        </w:rPr>
        <w:t xml:space="preserve"> Lab Med. 53(11</w:t>
      </w:r>
      <w:proofErr w:type="gramStart"/>
      <w:r w:rsidRPr="008C0DD0">
        <w:rPr>
          <w:lang w:val="en-US"/>
        </w:rPr>
        <w:t>) :</w:t>
      </w:r>
      <w:proofErr w:type="gramEnd"/>
      <w:r w:rsidRPr="008C0DD0">
        <w:rPr>
          <w:lang w:val="en-US"/>
        </w:rPr>
        <w:t xml:space="preserve"> 1689. </w:t>
      </w:r>
    </w:p>
    <w:p w:rsidR="008C0DD0" w:rsidRDefault="008C0DD0" w:rsidP="00260D9B">
      <w:pPr>
        <w:spacing w:after="0"/>
        <w:jc w:val="both"/>
      </w:pPr>
      <w:r w:rsidRPr="008C0DD0">
        <w:rPr>
          <w:lang w:val="en-US"/>
        </w:rPr>
        <w:t xml:space="preserve">[5] </w:t>
      </w:r>
      <w:proofErr w:type="spellStart"/>
      <w:r w:rsidRPr="008C0DD0">
        <w:rPr>
          <w:lang w:val="en-US"/>
        </w:rPr>
        <w:t>Mundt</w:t>
      </w:r>
      <w:proofErr w:type="spellEnd"/>
      <w:r w:rsidRPr="008C0DD0">
        <w:rPr>
          <w:lang w:val="en-US"/>
        </w:rPr>
        <w:t xml:space="preserve"> LA et al. (2016): Graff’s Textbook of Urinalysis and Body Fluids. </w:t>
      </w:r>
      <w:proofErr w:type="gramStart"/>
      <w:r w:rsidRPr="008C0DD0">
        <w:rPr>
          <w:lang w:val="en-US"/>
        </w:rPr>
        <w:t>Third Edition.</w:t>
      </w:r>
      <w:proofErr w:type="gramEnd"/>
      <w:r w:rsidRPr="008C0DD0">
        <w:rPr>
          <w:lang w:val="en-US"/>
        </w:rPr>
        <w:t xml:space="preserve"> © 2016 Wolters Kluwer. </w:t>
      </w:r>
    </w:p>
    <w:p w:rsidR="008C0DD0" w:rsidRDefault="008C0DD0" w:rsidP="00260D9B">
      <w:pPr>
        <w:spacing w:after="0"/>
        <w:jc w:val="both"/>
      </w:pPr>
      <w:r w:rsidRPr="008C0DD0">
        <w:rPr>
          <w:lang w:val="en-US"/>
        </w:rPr>
        <w:t xml:space="preserve">[6] King </w:t>
      </w:r>
      <w:proofErr w:type="spellStart"/>
      <w:r w:rsidRPr="008C0DD0">
        <w:rPr>
          <w:lang w:val="en-US"/>
        </w:rPr>
        <w:t>Strasinger</w:t>
      </w:r>
      <w:proofErr w:type="spellEnd"/>
      <w:r w:rsidRPr="008C0DD0">
        <w:rPr>
          <w:lang w:val="en-US"/>
        </w:rPr>
        <w:t xml:space="preserve"> S et al. (2008): Urinalysis and Body Fluids. </w:t>
      </w:r>
      <w:proofErr w:type="gramStart"/>
      <w:r w:rsidRPr="008C0DD0">
        <w:rPr>
          <w:lang w:val="en-US"/>
        </w:rPr>
        <w:t>Fifth Edition.</w:t>
      </w:r>
      <w:proofErr w:type="gramEnd"/>
      <w:r w:rsidRPr="008C0DD0">
        <w:rPr>
          <w:lang w:val="en-US"/>
        </w:rPr>
        <w:t xml:space="preserve"> © 2008 F. A. Davis Co. </w:t>
      </w:r>
    </w:p>
    <w:p w:rsidR="008C0DD0" w:rsidRPr="002525F3" w:rsidRDefault="008C0DD0" w:rsidP="00260D9B">
      <w:pPr>
        <w:spacing w:after="0"/>
        <w:jc w:val="both"/>
        <w:rPr>
          <w:lang w:val="en-US"/>
        </w:rPr>
      </w:pPr>
      <w:r w:rsidRPr="008C0DD0">
        <w:rPr>
          <w:lang w:val="en-US"/>
        </w:rPr>
        <w:t xml:space="preserve">[7] de </w:t>
      </w:r>
      <w:proofErr w:type="spellStart"/>
      <w:r w:rsidRPr="008C0DD0">
        <w:rPr>
          <w:lang w:val="en-US"/>
        </w:rPr>
        <w:t>Jonge</w:t>
      </w:r>
      <w:proofErr w:type="spellEnd"/>
      <w:r w:rsidRPr="008C0DD0">
        <w:rPr>
          <w:lang w:val="en-US"/>
        </w:rPr>
        <w:t xml:space="preserve"> R et al. (2004): Automated counting of white blood cells in synovial fluid. </w:t>
      </w:r>
      <w:proofErr w:type="gramStart"/>
      <w:r w:rsidRPr="008C0DD0">
        <w:rPr>
          <w:lang w:val="en-US"/>
        </w:rPr>
        <w:t>Rheumatology.</w:t>
      </w:r>
      <w:proofErr w:type="gramEnd"/>
      <w:r w:rsidRPr="008C0DD0">
        <w:rPr>
          <w:lang w:val="en-US"/>
        </w:rPr>
        <w:t xml:space="preserve"> </w:t>
      </w:r>
      <w:proofErr w:type="gramStart"/>
      <w:r w:rsidRPr="002525F3">
        <w:rPr>
          <w:lang w:val="en-US"/>
        </w:rPr>
        <w:t>43 :</w:t>
      </w:r>
      <w:proofErr w:type="gramEnd"/>
      <w:r w:rsidRPr="002525F3">
        <w:rPr>
          <w:lang w:val="en-US"/>
        </w:rPr>
        <w:t xml:space="preserve"> 170 – 73.</w:t>
      </w:r>
    </w:p>
    <w:p w:rsidR="008C0DD0" w:rsidRPr="002525F3" w:rsidRDefault="008C0DD0" w:rsidP="00260D9B">
      <w:pPr>
        <w:spacing w:after="0"/>
        <w:jc w:val="both"/>
        <w:rPr>
          <w:lang w:val="en-US"/>
        </w:rPr>
      </w:pPr>
    </w:p>
    <w:p w:rsidR="002525F3" w:rsidRDefault="002525F3" w:rsidP="00260D9B">
      <w:pPr>
        <w:spacing w:after="0"/>
        <w:jc w:val="both"/>
      </w:pPr>
    </w:p>
    <w:p w:rsidR="002525F3" w:rsidRDefault="002525F3" w:rsidP="00260D9B">
      <w:pPr>
        <w:spacing w:after="0"/>
        <w:jc w:val="both"/>
      </w:pPr>
    </w:p>
    <w:p w:rsidR="002525F3" w:rsidRDefault="002525F3" w:rsidP="00260D9B">
      <w:pPr>
        <w:spacing w:after="0"/>
        <w:jc w:val="both"/>
      </w:pPr>
    </w:p>
    <w:p w:rsidR="002525F3" w:rsidRDefault="002525F3" w:rsidP="00260D9B">
      <w:pPr>
        <w:spacing w:after="0"/>
        <w:jc w:val="both"/>
      </w:pPr>
    </w:p>
    <w:p w:rsidR="002525F3" w:rsidRDefault="002525F3" w:rsidP="00260D9B">
      <w:pPr>
        <w:spacing w:after="0"/>
        <w:jc w:val="both"/>
      </w:pPr>
    </w:p>
    <w:p w:rsidR="002525F3" w:rsidRDefault="002525F3" w:rsidP="00260D9B">
      <w:pPr>
        <w:spacing w:after="0"/>
        <w:jc w:val="both"/>
      </w:pPr>
    </w:p>
    <w:p w:rsidR="002525F3" w:rsidRDefault="002525F3" w:rsidP="00260D9B">
      <w:pPr>
        <w:spacing w:after="0"/>
        <w:jc w:val="both"/>
      </w:pPr>
    </w:p>
    <w:p w:rsidR="002525F3" w:rsidRDefault="002525F3" w:rsidP="00260D9B">
      <w:pPr>
        <w:spacing w:after="0"/>
        <w:jc w:val="both"/>
      </w:pPr>
    </w:p>
    <w:p w:rsidR="002525F3" w:rsidRDefault="002525F3" w:rsidP="00260D9B">
      <w:pPr>
        <w:spacing w:after="0"/>
        <w:jc w:val="both"/>
      </w:pPr>
    </w:p>
    <w:p w:rsidR="002525F3" w:rsidRDefault="002525F3" w:rsidP="00260D9B">
      <w:pPr>
        <w:spacing w:after="0"/>
        <w:jc w:val="both"/>
      </w:pPr>
    </w:p>
    <w:p w:rsidR="002525F3" w:rsidRDefault="002525F3" w:rsidP="00260D9B">
      <w:pPr>
        <w:spacing w:after="0"/>
        <w:jc w:val="both"/>
      </w:pPr>
    </w:p>
    <w:p w:rsidR="002525F3" w:rsidRDefault="002525F3" w:rsidP="00260D9B">
      <w:pPr>
        <w:spacing w:after="0"/>
        <w:jc w:val="both"/>
      </w:pPr>
    </w:p>
    <w:p w:rsidR="002525F3" w:rsidRDefault="002525F3" w:rsidP="00260D9B">
      <w:pPr>
        <w:spacing w:after="0"/>
        <w:jc w:val="both"/>
      </w:pPr>
    </w:p>
    <w:p w:rsidR="002525F3" w:rsidRDefault="002525F3" w:rsidP="00260D9B">
      <w:pPr>
        <w:spacing w:after="0"/>
        <w:jc w:val="both"/>
      </w:pPr>
    </w:p>
    <w:p w:rsidR="002525F3" w:rsidRDefault="002525F3" w:rsidP="00260D9B">
      <w:pPr>
        <w:spacing w:after="0"/>
        <w:jc w:val="both"/>
      </w:pPr>
    </w:p>
    <w:p w:rsidR="002525F3" w:rsidRDefault="002525F3" w:rsidP="00260D9B">
      <w:pPr>
        <w:spacing w:after="0"/>
        <w:jc w:val="both"/>
      </w:pPr>
    </w:p>
    <w:p w:rsidR="002525F3" w:rsidRDefault="002525F3" w:rsidP="00260D9B">
      <w:pPr>
        <w:spacing w:after="0"/>
        <w:jc w:val="both"/>
      </w:pPr>
    </w:p>
    <w:p w:rsidR="002525F3" w:rsidRDefault="002525F3" w:rsidP="00260D9B">
      <w:pPr>
        <w:spacing w:after="0"/>
        <w:jc w:val="both"/>
      </w:pPr>
    </w:p>
    <w:p w:rsidR="002525F3" w:rsidRDefault="002525F3" w:rsidP="00260D9B">
      <w:pPr>
        <w:spacing w:after="0"/>
        <w:jc w:val="both"/>
      </w:pPr>
    </w:p>
    <w:p w:rsidR="002525F3" w:rsidRDefault="002525F3" w:rsidP="00260D9B">
      <w:pPr>
        <w:spacing w:after="0"/>
        <w:jc w:val="both"/>
      </w:pPr>
    </w:p>
    <w:p w:rsidR="002525F3" w:rsidRDefault="002525F3" w:rsidP="00260D9B">
      <w:pPr>
        <w:spacing w:after="0"/>
        <w:jc w:val="both"/>
      </w:pPr>
    </w:p>
    <w:p w:rsidR="002525F3" w:rsidRDefault="002525F3" w:rsidP="00260D9B">
      <w:pPr>
        <w:spacing w:after="0"/>
        <w:jc w:val="both"/>
      </w:pPr>
    </w:p>
    <w:p w:rsidR="002525F3" w:rsidRDefault="002525F3" w:rsidP="00260D9B">
      <w:pPr>
        <w:spacing w:after="0"/>
        <w:jc w:val="both"/>
      </w:pPr>
    </w:p>
    <w:p w:rsidR="002525F3" w:rsidRDefault="002525F3" w:rsidP="00260D9B">
      <w:pPr>
        <w:spacing w:after="0"/>
        <w:jc w:val="both"/>
      </w:pPr>
    </w:p>
    <w:p w:rsidR="002525F3" w:rsidRDefault="002525F3" w:rsidP="00260D9B">
      <w:pPr>
        <w:spacing w:after="0"/>
        <w:jc w:val="both"/>
      </w:pPr>
    </w:p>
    <w:p w:rsidR="002525F3" w:rsidRDefault="002525F3" w:rsidP="00260D9B">
      <w:pPr>
        <w:spacing w:after="0"/>
        <w:jc w:val="both"/>
      </w:pPr>
    </w:p>
    <w:p w:rsidR="002525F3" w:rsidRDefault="002525F3" w:rsidP="00260D9B">
      <w:pPr>
        <w:spacing w:after="0"/>
        <w:jc w:val="both"/>
      </w:pPr>
    </w:p>
    <w:p w:rsidR="002525F3" w:rsidRDefault="002525F3" w:rsidP="00260D9B">
      <w:pPr>
        <w:spacing w:after="0"/>
        <w:jc w:val="both"/>
      </w:pPr>
    </w:p>
    <w:p w:rsidR="002525F3" w:rsidRDefault="002525F3" w:rsidP="00260D9B">
      <w:pPr>
        <w:spacing w:after="0"/>
        <w:jc w:val="both"/>
      </w:pPr>
    </w:p>
    <w:p w:rsidR="002525F3" w:rsidRDefault="002525F3" w:rsidP="00260D9B">
      <w:pPr>
        <w:spacing w:after="0"/>
        <w:jc w:val="both"/>
      </w:pPr>
    </w:p>
    <w:p w:rsidR="002525F3" w:rsidRDefault="002525F3" w:rsidP="00260D9B">
      <w:pPr>
        <w:spacing w:after="0"/>
        <w:jc w:val="both"/>
      </w:pPr>
    </w:p>
    <w:p w:rsidR="002525F3" w:rsidRPr="002525F3" w:rsidRDefault="002525F3" w:rsidP="00260D9B">
      <w:pPr>
        <w:spacing w:after="0"/>
        <w:jc w:val="both"/>
        <w:sectPr w:rsidR="002525F3" w:rsidRPr="002525F3" w:rsidSect="00FA0C4F">
          <w:type w:val="continuous"/>
          <w:pgSz w:w="11906" w:h="16838"/>
          <w:pgMar w:top="1134" w:right="850" w:bottom="1134" w:left="993" w:header="708" w:footer="708" w:gutter="0"/>
          <w:cols w:num="2" w:space="283"/>
          <w:docGrid w:linePitch="360"/>
        </w:sectPr>
      </w:pPr>
    </w:p>
    <w:p w:rsidR="00DF3DCA" w:rsidRPr="002525F3" w:rsidRDefault="00DF3DCA" w:rsidP="00DF3DCA">
      <w:pPr>
        <w:spacing w:after="0"/>
        <w:jc w:val="both"/>
        <w:rPr>
          <w:lang w:val="en-US"/>
        </w:rPr>
      </w:pPr>
    </w:p>
    <w:sectPr w:rsidR="00DF3DCA" w:rsidRPr="002525F3" w:rsidSect="00FA0C4F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F49"/>
    <w:multiLevelType w:val="hybridMultilevel"/>
    <w:tmpl w:val="CFD81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55C40"/>
    <w:multiLevelType w:val="hybridMultilevel"/>
    <w:tmpl w:val="B6069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D69C6"/>
    <w:multiLevelType w:val="hybridMultilevel"/>
    <w:tmpl w:val="A0F8F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E7A4C"/>
    <w:multiLevelType w:val="hybridMultilevel"/>
    <w:tmpl w:val="68781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01"/>
    <w:rsid w:val="00073001"/>
    <w:rsid w:val="000F4AF8"/>
    <w:rsid w:val="0011415D"/>
    <w:rsid w:val="00156525"/>
    <w:rsid w:val="00251F58"/>
    <w:rsid w:val="002525F3"/>
    <w:rsid w:val="00260594"/>
    <w:rsid w:val="00260D9B"/>
    <w:rsid w:val="002D4420"/>
    <w:rsid w:val="00333B40"/>
    <w:rsid w:val="00377821"/>
    <w:rsid w:val="00397E0E"/>
    <w:rsid w:val="00474156"/>
    <w:rsid w:val="005701C7"/>
    <w:rsid w:val="007F3984"/>
    <w:rsid w:val="008652F1"/>
    <w:rsid w:val="008B5416"/>
    <w:rsid w:val="008C0DD0"/>
    <w:rsid w:val="00900C49"/>
    <w:rsid w:val="00940BC5"/>
    <w:rsid w:val="009E6067"/>
    <w:rsid w:val="00A42D9D"/>
    <w:rsid w:val="00A5615D"/>
    <w:rsid w:val="00B877D6"/>
    <w:rsid w:val="00C960A2"/>
    <w:rsid w:val="00CE1E34"/>
    <w:rsid w:val="00DF3DCA"/>
    <w:rsid w:val="00E2709A"/>
    <w:rsid w:val="00FA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D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4AF8"/>
    <w:pPr>
      <w:ind w:left="720"/>
      <w:contextualSpacing/>
    </w:pPr>
  </w:style>
  <w:style w:type="table" w:styleId="a6">
    <w:name w:val="Table Grid"/>
    <w:basedOn w:val="a1"/>
    <w:uiPriority w:val="59"/>
    <w:rsid w:val="00397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397E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D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4AF8"/>
    <w:pPr>
      <w:ind w:left="720"/>
      <w:contextualSpacing/>
    </w:pPr>
  </w:style>
  <w:style w:type="table" w:styleId="a6">
    <w:name w:val="Table Grid"/>
    <w:basedOn w:val="a1"/>
    <w:uiPriority w:val="59"/>
    <w:rsid w:val="00397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397E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1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680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072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B5BC7-69B0-448A-A076-F47EF799F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2320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5</cp:revision>
  <dcterms:created xsi:type="dcterms:W3CDTF">2021-11-02T11:02:00Z</dcterms:created>
  <dcterms:modified xsi:type="dcterms:W3CDTF">2021-11-02T17:18:00Z</dcterms:modified>
</cp:coreProperties>
</file>