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DC9" w:rsidRPr="00376B04" w:rsidRDefault="005F7DC9" w:rsidP="00A56930">
      <w:pPr>
        <w:pStyle w:val="a3"/>
        <w:spacing w:before="180" w:beforeAutospacing="0" w:after="180" w:afterAutospacing="0"/>
        <w:jc w:val="center"/>
        <w:rPr>
          <w:rStyle w:val="a4"/>
          <w:b w:val="0"/>
          <w:color w:val="000000"/>
        </w:rPr>
      </w:pPr>
      <w:r w:rsidRPr="00376B04">
        <w:rPr>
          <w:bCs/>
          <w:noProof/>
          <w:color w:val="000000"/>
        </w:rPr>
        <w:drawing>
          <wp:inline distT="0" distB="0" distL="0" distR="0">
            <wp:extent cx="5940425" cy="8400415"/>
            <wp:effectExtent l="19050" t="0" r="3175" b="0"/>
            <wp:docPr id="1" name="Рисунок 0" descr="zhivotov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ivotova_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DC9" w:rsidRPr="00376B04" w:rsidRDefault="005F7DC9" w:rsidP="00A56930">
      <w:pPr>
        <w:pStyle w:val="a3"/>
        <w:spacing w:before="180" w:beforeAutospacing="0" w:after="180" w:afterAutospacing="0"/>
        <w:jc w:val="center"/>
        <w:rPr>
          <w:rStyle w:val="a4"/>
          <w:b w:val="0"/>
          <w:color w:val="000000"/>
        </w:rPr>
      </w:pPr>
    </w:p>
    <w:p w:rsidR="005F7DC9" w:rsidRPr="00376B04" w:rsidRDefault="005F7DC9" w:rsidP="00A56930">
      <w:pPr>
        <w:pStyle w:val="a3"/>
        <w:spacing w:before="180" w:beforeAutospacing="0" w:after="180" w:afterAutospacing="0"/>
        <w:jc w:val="center"/>
        <w:rPr>
          <w:rStyle w:val="a4"/>
          <w:b w:val="0"/>
          <w:color w:val="000000"/>
        </w:rPr>
      </w:pPr>
    </w:p>
    <w:p w:rsidR="005F7DC9" w:rsidRPr="00376B04" w:rsidRDefault="005F7DC9" w:rsidP="00A56930">
      <w:pPr>
        <w:pStyle w:val="a3"/>
        <w:spacing w:before="180" w:beforeAutospacing="0" w:after="180" w:afterAutospacing="0"/>
        <w:jc w:val="center"/>
        <w:rPr>
          <w:rStyle w:val="a4"/>
          <w:b w:val="0"/>
          <w:color w:val="000000"/>
        </w:rPr>
      </w:pPr>
    </w:p>
    <w:p w:rsidR="005F7DC9" w:rsidRPr="00376B04" w:rsidRDefault="005F7DC9" w:rsidP="00A56930">
      <w:pPr>
        <w:pStyle w:val="a3"/>
        <w:spacing w:before="180" w:beforeAutospacing="0" w:after="180" w:afterAutospacing="0"/>
        <w:jc w:val="center"/>
        <w:rPr>
          <w:rStyle w:val="a4"/>
          <w:b w:val="0"/>
          <w:color w:val="000000"/>
        </w:rPr>
      </w:pPr>
      <w:r w:rsidRPr="00376B04">
        <w:rPr>
          <w:bCs/>
          <w:noProof/>
          <w:color w:val="000000"/>
        </w:rPr>
        <w:drawing>
          <wp:inline distT="0" distB="0" distL="0" distR="0">
            <wp:extent cx="5940425" cy="8400415"/>
            <wp:effectExtent l="19050" t="0" r="3175" b="0"/>
            <wp:docPr id="2" name="Рисунок 1" descr="zhivotov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ivotova_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DC9" w:rsidRPr="00376B04" w:rsidRDefault="005F7DC9" w:rsidP="00A56930">
      <w:pPr>
        <w:pStyle w:val="a3"/>
        <w:spacing w:before="180" w:beforeAutospacing="0" w:after="180" w:afterAutospacing="0"/>
        <w:jc w:val="center"/>
        <w:rPr>
          <w:rStyle w:val="a4"/>
          <w:b w:val="0"/>
          <w:color w:val="000000"/>
        </w:rPr>
      </w:pPr>
    </w:p>
    <w:p w:rsidR="00A56930" w:rsidRPr="00376B04" w:rsidRDefault="00A56930" w:rsidP="00A56930">
      <w:pPr>
        <w:pStyle w:val="a3"/>
        <w:spacing w:before="180" w:beforeAutospacing="0" w:after="180" w:afterAutospacing="0"/>
        <w:jc w:val="center"/>
        <w:rPr>
          <w:rStyle w:val="a4"/>
          <w:b w:val="0"/>
          <w:color w:val="000000"/>
        </w:rPr>
      </w:pPr>
      <w:r w:rsidRPr="00376B04">
        <w:rPr>
          <w:rStyle w:val="a4"/>
          <w:b w:val="0"/>
          <w:color w:val="000000"/>
        </w:rPr>
        <w:lastRenderedPageBreak/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 Ф. </w:t>
      </w:r>
      <w:proofErr w:type="spellStart"/>
      <w:r w:rsidRPr="00376B04">
        <w:rPr>
          <w:rStyle w:val="a4"/>
          <w:b w:val="0"/>
          <w:color w:val="000000"/>
        </w:rPr>
        <w:t>Войно</w:t>
      </w:r>
      <w:proofErr w:type="spellEnd"/>
      <w:r w:rsidRPr="00376B04">
        <w:rPr>
          <w:rStyle w:val="a4"/>
          <w:b w:val="0"/>
          <w:color w:val="000000"/>
        </w:rPr>
        <w:t xml:space="preserve"> – </w:t>
      </w:r>
      <w:proofErr w:type="spellStart"/>
      <w:r w:rsidRPr="00376B04">
        <w:rPr>
          <w:rStyle w:val="a4"/>
          <w:b w:val="0"/>
          <w:color w:val="000000"/>
        </w:rPr>
        <w:t>Ясенецкого</w:t>
      </w:r>
      <w:proofErr w:type="spellEnd"/>
      <w:r w:rsidRPr="00376B04">
        <w:rPr>
          <w:rStyle w:val="a4"/>
          <w:b w:val="0"/>
          <w:color w:val="000000"/>
        </w:rPr>
        <w:t>» Министерства здравоохранения Российской Федерации</w:t>
      </w:r>
      <w:r w:rsidRPr="00376B04">
        <w:rPr>
          <w:bCs/>
          <w:color w:val="000000"/>
        </w:rPr>
        <w:br/>
      </w:r>
      <w:r w:rsidRPr="00376B04">
        <w:rPr>
          <w:rStyle w:val="a4"/>
          <w:b w:val="0"/>
          <w:color w:val="000000"/>
        </w:rPr>
        <w:t xml:space="preserve">Кафедра факультетской терапии с курсом </w:t>
      </w:r>
      <w:proofErr w:type="gramStart"/>
      <w:r w:rsidRPr="00376B04">
        <w:rPr>
          <w:rStyle w:val="a4"/>
          <w:b w:val="0"/>
          <w:color w:val="000000"/>
        </w:rPr>
        <w:t>ПО</w:t>
      </w:r>
      <w:proofErr w:type="gramEnd"/>
    </w:p>
    <w:p w:rsidR="000D43C3" w:rsidRPr="00376B04" w:rsidRDefault="007D2C56" w:rsidP="007D2C56">
      <w:pPr>
        <w:jc w:val="center"/>
        <w:rPr>
          <w:rFonts w:ascii="Times New Roman" w:hAnsi="Times New Roman" w:cs="Times New Roman"/>
          <w:sz w:val="24"/>
          <w:szCs w:val="24"/>
        </w:rPr>
      </w:pPr>
      <w:r w:rsidRPr="00376B04">
        <w:rPr>
          <w:rFonts w:ascii="Times New Roman" w:hAnsi="Times New Roman" w:cs="Times New Roman"/>
          <w:sz w:val="24"/>
          <w:szCs w:val="24"/>
        </w:rPr>
        <w:t>Заведующий кафедрой ДМН, Профессор Никулина С. Ю.</w:t>
      </w:r>
    </w:p>
    <w:p w:rsidR="00A56930" w:rsidRPr="00376B04" w:rsidRDefault="00A56930">
      <w:pPr>
        <w:rPr>
          <w:rFonts w:ascii="Times New Roman" w:hAnsi="Times New Roman" w:cs="Times New Roman"/>
          <w:sz w:val="24"/>
          <w:szCs w:val="24"/>
        </w:rPr>
      </w:pPr>
    </w:p>
    <w:p w:rsidR="00262A67" w:rsidRPr="00376B04" w:rsidRDefault="00262A67" w:rsidP="00A569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2A67" w:rsidRPr="00376B04" w:rsidRDefault="00262A67" w:rsidP="00A569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2A67" w:rsidRPr="00376B04" w:rsidRDefault="00262A67" w:rsidP="00A569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2C56" w:rsidRPr="00376B04" w:rsidRDefault="007D2C56" w:rsidP="00262A67">
      <w:pPr>
        <w:jc w:val="center"/>
        <w:rPr>
          <w:rFonts w:ascii="Times New Roman" w:hAnsi="Times New Roman" w:cs="Times New Roman"/>
          <w:sz w:val="24"/>
          <w:szCs w:val="24"/>
        </w:rPr>
      </w:pPr>
      <w:r w:rsidRPr="00376B04">
        <w:rPr>
          <w:rFonts w:ascii="Times New Roman" w:hAnsi="Times New Roman" w:cs="Times New Roman"/>
          <w:sz w:val="24"/>
          <w:szCs w:val="24"/>
        </w:rPr>
        <w:t>Реферат на тему</w:t>
      </w:r>
    </w:p>
    <w:p w:rsidR="00262A67" w:rsidRPr="00376B04" w:rsidRDefault="00A56930" w:rsidP="00262A67">
      <w:pPr>
        <w:jc w:val="center"/>
        <w:rPr>
          <w:rFonts w:ascii="Times New Roman" w:hAnsi="Times New Roman" w:cs="Times New Roman"/>
          <w:sz w:val="24"/>
          <w:szCs w:val="24"/>
        </w:rPr>
      </w:pPr>
      <w:r w:rsidRPr="00376B04">
        <w:rPr>
          <w:rFonts w:ascii="Times New Roman" w:hAnsi="Times New Roman" w:cs="Times New Roman"/>
          <w:sz w:val="24"/>
          <w:szCs w:val="24"/>
        </w:rPr>
        <w:t>« Хроническая болезнь почек</w:t>
      </w:r>
      <w:r w:rsidR="007D2C56" w:rsidRPr="00376B04">
        <w:rPr>
          <w:rFonts w:ascii="Times New Roman" w:hAnsi="Times New Roman" w:cs="Times New Roman"/>
          <w:sz w:val="24"/>
          <w:szCs w:val="24"/>
        </w:rPr>
        <w:t>»</w:t>
      </w:r>
    </w:p>
    <w:p w:rsidR="00262A67" w:rsidRPr="00376B04" w:rsidRDefault="00262A67" w:rsidP="00262A67">
      <w:pPr>
        <w:jc w:val="center"/>
        <w:rPr>
          <w:rFonts w:ascii="Times New Roman" w:hAnsi="Times New Roman" w:cs="Times New Roman"/>
          <w:sz w:val="24"/>
          <w:szCs w:val="24"/>
        </w:rPr>
      </w:pPr>
      <w:r w:rsidRPr="00376B04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262A67" w:rsidRPr="00376B04" w:rsidRDefault="00262A67" w:rsidP="00262A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2A67" w:rsidRPr="00376B04" w:rsidRDefault="00262A67" w:rsidP="00262A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56930" w:rsidRPr="00376B04" w:rsidRDefault="00262A67" w:rsidP="00262A67">
      <w:pPr>
        <w:jc w:val="right"/>
        <w:rPr>
          <w:rFonts w:ascii="Times New Roman" w:hAnsi="Times New Roman" w:cs="Times New Roman"/>
          <w:sz w:val="24"/>
          <w:szCs w:val="24"/>
        </w:rPr>
      </w:pPr>
      <w:r w:rsidRPr="00376B04">
        <w:rPr>
          <w:rFonts w:ascii="Times New Roman" w:hAnsi="Times New Roman" w:cs="Times New Roman"/>
          <w:sz w:val="24"/>
          <w:szCs w:val="24"/>
        </w:rPr>
        <w:t xml:space="preserve"> </w:t>
      </w:r>
      <w:r w:rsidR="00A56930" w:rsidRPr="00376B04">
        <w:rPr>
          <w:rFonts w:ascii="Times New Roman" w:hAnsi="Times New Roman" w:cs="Times New Roman"/>
          <w:sz w:val="24"/>
          <w:szCs w:val="24"/>
        </w:rPr>
        <w:t xml:space="preserve">Выполнила: ординатор 2-го года обучения </w:t>
      </w:r>
    </w:p>
    <w:p w:rsidR="00A56930" w:rsidRPr="00376B04" w:rsidRDefault="00CF2278" w:rsidP="00262A67">
      <w:pPr>
        <w:jc w:val="right"/>
        <w:rPr>
          <w:rFonts w:ascii="Times New Roman" w:hAnsi="Times New Roman" w:cs="Times New Roman"/>
          <w:sz w:val="24"/>
          <w:szCs w:val="24"/>
        </w:rPr>
      </w:pPr>
      <w:r w:rsidRPr="00376B04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62A67" w:rsidRPr="00376B04">
        <w:rPr>
          <w:rFonts w:ascii="Times New Roman" w:hAnsi="Times New Roman" w:cs="Times New Roman"/>
          <w:sz w:val="24"/>
          <w:szCs w:val="24"/>
        </w:rPr>
        <w:t xml:space="preserve">         </w:t>
      </w:r>
      <w:r w:rsidR="00A56930" w:rsidRPr="00376B04">
        <w:rPr>
          <w:rFonts w:ascii="Times New Roman" w:hAnsi="Times New Roman" w:cs="Times New Roman"/>
          <w:sz w:val="24"/>
          <w:szCs w:val="24"/>
        </w:rPr>
        <w:t>сп</w:t>
      </w:r>
      <w:r w:rsidR="00262A67" w:rsidRPr="00376B04">
        <w:rPr>
          <w:rFonts w:ascii="Times New Roman" w:hAnsi="Times New Roman" w:cs="Times New Roman"/>
          <w:sz w:val="24"/>
          <w:szCs w:val="24"/>
        </w:rPr>
        <w:t xml:space="preserve">ециальности терапия </w:t>
      </w:r>
      <w:proofErr w:type="spellStart"/>
      <w:r w:rsidR="00262A67" w:rsidRPr="00376B04">
        <w:rPr>
          <w:rFonts w:ascii="Times New Roman" w:hAnsi="Times New Roman" w:cs="Times New Roman"/>
          <w:sz w:val="24"/>
          <w:szCs w:val="24"/>
        </w:rPr>
        <w:t>Животова</w:t>
      </w:r>
      <w:proofErr w:type="spellEnd"/>
      <w:r w:rsidR="00262A67" w:rsidRPr="00376B04">
        <w:rPr>
          <w:rFonts w:ascii="Times New Roman" w:hAnsi="Times New Roman" w:cs="Times New Roman"/>
          <w:sz w:val="24"/>
          <w:szCs w:val="24"/>
        </w:rPr>
        <w:t xml:space="preserve"> М.</w:t>
      </w:r>
      <w:r w:rsidR="00A56930" w:rsidRPr="00376B04">
        <w:rPr>
          <w:rFonts w:ascii="Times New Roman" w:hAnsi="Times New Roman" w:cs="Times New Roman"/>
          <w:sz w:val="24"/>
          <w:szCs w:val="24"/>
        </w:rPr>
        <w:t>А.</w:t>
      </w:r>
    </w:p>
    <w:p w:rsidR="00A56930" w:rsidRPr="00376B04" w:rsidRDefault="00376B04" w:rsidP="00262A6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Проверила: ДМН, профессор Никулина С.Ю</w:t>
      </w:r>
      <w:r w:rsidR="00A56930" w:rsidRPr="00376B04">
        <w:rPr>
          <w:rFonts w:ascii="Times New Roman" w:hAnsi="Times New Roman" w:cs="Times New Roman"/>
          <w:sz w:val="24"/>
          <w:szCs w:val="24"/>
        </w:rPr>
        <w:t>.</w:t>
      </w:r>
    </w:p>
    <w:p w:rsidR="00CF2278" w:rsidRPr="00376B04" w:rsidRDefault="00CF2278" w:rsidP="00262A6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2A67" w:rsidRPr="00376B04" w:rsidRDefault="00262A67" w:rsidP="00262A67">
      <w:pPr>
        <w:rPr>
          <w:rFonts w:ascii="Times New Roman" w:hAnsi="Times New Roman" w:cs="Times New Roman"/>
          <w:sz w:val="24"/>
          <w:szCs w:val="24"/>
        </w:rPr>
      </w:pPr>
      <w:r w:rsidRPr="00376B04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262A67" w:rsidRPr="00376B04" w:rsidRDefault="00262A67" w:rsidP="00262A67">
      <w:pPr>
        <w:rPr>
          <w:rFonts w:ascii="Times New Roman" w:hAnsi="Times New Roman" w:cs="Times New Roman"/>
          <w:sz w:val="24"/>
          <w:szCs w:val="24"/>
        </w:rPr>
      </w:pPr>
    </w:p>
    <w:p w:rsidR="00262A67" w:rsidRPr="00376B04" w:rsidRDefault="00262A67" w:rsidP="00262A67">
      <w:pPr>
        <w:rPr>
          <w:rFonts w:ascii="Times New Roman" w:hAnsi="Times New Roman" w:cs="Times New Roman"/>
          <w:sz w:val="24"/>
          <w:szCs w:val="24"/>
        </w:rPr>
      </w:pPr>
    </w:p>
    <w:p w:rsidR="00262A67" w:rsidRPr="00376B04" w:rsidRDefault="00262A67" w:rsidP="00262A67">
      <w:pPr>
        <w:rPr>
          <w:rFonts w:ascii="Times New Roman" w:hAnsi="Times New Roman" w:cs="Times New Roman"/>
          <w:sz w:val="24"/>
          <w:szCs w:val="24"/>
        </w:rPr>
      </w:pPr>
    </w:p>
    <w:p w:rsidR="00262A67" w:rsidRPr="00376B04" w:rsidRDefault="00262A67" w:rsidP="00262A67">
      <w:pPr>
        <w:rPr>
          <w:rFonts w:ascii="Times New Roman" w:hAnsi="Times New Roman" w:cs="Times New Roman"/>
          <w:sz w:val="24"/>
          <w:szCs w:val="24"/>
        </w:rPr>
      </w:pPr>
    </w:p>
    <w:p w:rsidR="00CF2278" w:rsidRPr="00376B04" w:rsidRDefault="00262A67" w:rsidP="00262A67">
      <w:pPr>
        <w:jc w:val="center"/>
        <w:rPr>
          <w:rFonts w:ascii="Times New Roman" w:hAnsi="Times New Roman" w:cs="Times New Roman"/>
          <w:sz w:val="24"/>
          <w:szCs w:val="24"/>
        </w:rPr>
      </w:pPr>
      <w:r w:rsidRPr="00376B04">
        <w:rPr>
          <w:rFonts w:ascii="Times New Roman" w:hAnsi="Times New Roman" w:cs="Times New Roman"/>
          <w:sz w:val="24"/>
          <w:szCs w:val="24"/>
        </w:rPr>
        <w:t>г</w:t>
      </w:r>
      <w:r w:rsidR="00CF2278" w:rsidRPr="00376B04">
        <w:rPr>
          <w:rFonts w:ascii="Times New Roman" w:hAnsi="Times New Roman" w:cs="Times New Roman"/>
          <w:sz w:val="24"/>
          <w:szCs w:val="24"/>
        </w:rPr>
        <w:t>. Красноярск 2020 год</w:t>
      </w:r>
    </w:p>
    <w:p w:rsidR="00CF2278" w:rsidRPr="00376B04" w:rsidRDefault="00CF2278" w:rsidP="00CF22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F2278" w:rsidRPr="00376B04" w:rsidRDefault="00CF2278" w:rsidP="00CF22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6B04" w:rsidRDefault="007D2C56" w:rsidP="007D2C56">
      <w:pPr>
        <w:rPr>
          <w:rFonts w:ascii="Times New Roman" w:hAnsi="Times New Roman" w:cs="Times New Roman"/>
          <w:sz w:val="24"/>
          <w:szCs w:val="24"/>
        </w:rPr>
      </w:pPr>
      <w:r w:rsidRPr="00376B04">
        <w:rPr>
          <w:rFonts w:ascii="Times New Roman" w:hAnsi="Times New Roman" w:cs="Times New Roman"/>
          <w:sz w:val="24"/>
          <w:szCs w:val="24"/>
        </w:rPr>
        <w:t xml:space="preserve">       </w:t>
      </w:r>
      <w:r w:rsidR="00376B0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376B04" w:rsidRDefault="00376B04" w:rsidP="007D2C56">
      <w:pPr>
        <w:rPr>
          <w:rFonts w:ascii="Times New Roman" w:hAnsi="Times New Roman" w:cs="Times New Roman"/>
          <w:sz w:val="24"/>
          <w:szCs w:val="24"/>
        </w:rPr>
      </w:pPr>
    </w:p>
    <w:p w:rsidR="00376B04" w:rsidRDefault="00376B04" w:rsidP="007D2C56">
      <w:pPr>
        <w:rPr>
          <w:rFonts w:ascii="Times New Roman" w:hAnsi="Times New Roman" w:cs="Times New Roman"/>
          <w:sz w:val="24"/>
          <w:szCs w:val="24"/>
        </w:rPr>
      </w:pPr>
    </w:p>
    <w:p w:rsidR="00376B04" w:rsidRDefault="00376B04" w:rsidP="007D2C56">
      <w:pPr>
        <w:rPr>
          <w:rFonts w:ascii="Times New Roman" w:hAnsi="Times New Roman" w:cs="Times New Roman"/>
          <w:sz w:val="24"/>
          <w:szCs w:val="24"/>
        </w:rPr>
      </w:pPr>
    </w:p>
    <w:p w:rsidR="00D31A46" w:rsidRPr="00376B04" w:rsidRDefault="00D31A46" w:rsidP="00D31A46">
      <w:pPr>
        <w:rPr>
          <w:rFonts w:ascii="Times New Roman" w:hAnsi="Times New Roman" w:cs="Times New Roman"/>
          <w:sz w:val="24"/>
          <w:szCs w:val="24"/>
        </w:rPr>
      </w:pPr>
    </w:p>
    <w:p w:rsidR="00D31A46" w:rsidRPr="00376B04" w:rsidRDefault="00376B04" w:rsidP="00376B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D31A46" w:rsidRPr="00376B04">
        <w:rPr>
          <w:rFonts w:ascii="Times New Roman" w:hAnsi="Times New Roman" w:cs="Times New Roman"/>
          <w:sz w:val="24"/>
          <w:szCs w:val="24"/>
        </w:rPr>
        <w:t>Актуальность</w:t>
      </w:r>
      <w:r w:rsidR="005F7DC9" w:rsidRPr="00376B04">
        <w:rPr>
          <w:rFonts w:ascii="Times New Roman" w:hAnsi="Times New Roman" w:cs="Times New Roman"/>
          <w:sz w:val="24"/>
          <w:szCs w:val="24"/>
        </w:rPr>
        <w:t xml:space="preserve"> проблемы</w:t>
      </w:r>
    </w:p>
    <w:p w:rsidR="00D31A46" w:rsidRPr="00376B04" w:rsidRDefault="001E69B6" w:rsidP="00D31A46">
      <w:pPr>
        <w:rPr>
          <w:rStyle w:val="fontstyle01"/>
          <w:rFonts w:ascii="Times New Roman" w:hAnsi="Times New Roman" w:cs="Times New Roman"/>
          <w:sz w:val="24"/>
          <w:szCs w:val="24"/>
        </w:rPr>
      </w:pPr>
      <w:r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        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На рубеже XX и XXI веков мировое сообщество столкнулось с глобальной проблемой, имеющей не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то</w:t>
      </w:r>
      <w:r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лько медицинское, но и огромное </w:t>
      </w:r>
      <w:proofErr w:type="spellStart"/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социально</w:t>
      </w:r>
      <w:r w:rsidR="00D31A46" w:rsidRPr="00376B04">
        <w:rPr>
          <w:rStyle w:val="fontstyle01"/>
          <w:rFonts w:cs="Times New Roman"/>
          <w:sz w:val="24"/>
          <w:szCs w:val="24"/>
        </w:rPr>
        <w:t>‐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экономическое</w:t>
      </w:r>
      <w:proofErr w:type="spellEnd"/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 значение – пандемией хронических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неинфекционных болезней, которые ежегодно уносят миллионы жизней, приводят к тяжелым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осложнениям, связанным с потерей трудоспособности и необходимостью </w:t>
      </w:r>
      <w:proofErr w:type="spellStart"/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высокозатратного</w:t>
      </w:r>
      <w:proofErr w:type="spellEnd"/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 лечения.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Среди них заболевания почек занимают важное место </w:t>
      </w:r>
      <w:proofErr w:type="spellStart"/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из</w:t>
      </w:r>
      <w:r w:rsidR="00D31A46" w:rsidRPr="00376B04">
        <w:rPr>
          <w:rStyle w:val="fontstyle01"/>
          <w:rFonts w:cs="Times New Roman"/>
          <w:sz w:val="24"/>
          <w:szCs w:val="24"/>
        </w:rPr>
        <w:t>‐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за</w:t>
      </w:r>
      <w:proofErr w:type="spellEnd"/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 значительной распространенности в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популяции, резкого снижения кач</w:t>
      </w:r>
      <w:r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ества жизни, высокой смертности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пациентов и приводят к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необходимости применения дорогостоящих методов заместительной терапии в терминальной стадии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– диализа и пересадки почки.</w:t>
      </w:r>
      <w:proofErr w:type="gramEnd"/>
      <w:r w:rsidR="00D31A46"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В то же время, развитие медицинской науки и фармакологии в конце XX века заложило основы для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разработки новых высокоэффективных и доступных методов профилактики, позволяющих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существенно замедлить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прогрессирование хронических заболеваний почек, снизить риск развития</w:t>
      </w:r>
      <w:r w:rsidR="00D31A46"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осложнений и затраты на лечение. Такие подходы оказались применимы к подавляющему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большинству пациентов с почечной патологией, независимо от ее причины.</w:t>
      </w:r>
    </w:p>
    <w:p w:rsidR="00D31A46" w:rsidRPr="00376B04" w:rsidRDefault="001E69B6" w:rsidP="00D31A46">
      <w:pPr>
        <w:rPr>
          <w:rStyle w:val="fontstyle01"/>
          <w:rFonts w:ascii="Times New Roman" w:hAnsi="Times New Roman" w:cs="Times New Roman"/>
          <w:sz w:val="24"/>
          <w:szCs w:val="24"/>
        </w:rPr>
      </w:pPr>
      <w:r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       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Распространенность ХБП сопоставима с такими социально значимыми заболеваниями, как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гипертоническая болезнь и сахарный диабет, а также ожирение и метаболический синдром. Признаки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повреждения почек и/или снижение скорости клубочковой фильтрации выявляют, как минимум, у</w:t>
      </w:r>
      <w:r w:rsidR="00D31A46"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каждого десятого представителя общей популяции. При этом сопоставимые цифры были получены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как в индустриальных странах с высоким уровнем жизни, так и в развивающихся странах со средним 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низким доходом населения.</w:t>
      </w:r>
      <w:r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Результаты проведенных эпидемиологических исследований в России показали, что проблема ХБП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для нашей страны является не менее острой. Признаки хронической болезни почек отмечаются более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чем у 1/3 больных с хронической сердечной недостаточностью; снижение функции почек наблюдается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у 36% лиц в возрасте старше 60 лет, у лиц </w:t>
      </w:r>
      <w:r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трудоспособного возраста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снижение функции отмечается в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16% случаев, а при наличии </w:t>
      </w:r>
      <w:proofErr w:type="spellStart"/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сердечно</w:t>
      </w:r>
      <w:r w:rsidR="00D31A46" w:rsidRPr="00376B04">
        <w:rPr>
          <w:rStyle w:val="fontstyle01"/>
          <w:rFonts w:cs="Times New Roman"/>
          <w:sz w:val="24"/>
          <w:szCs w:val="24"/>
        </w:rPr>
        <w:t>‐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сосудистых</w:t>
      </w:r>
      <w:proofErr w:type="spellEnd"/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 заболеваний его частота возрастает до 26%.</w:t>
      </w:r>
    </w:p>
    <w:p w:rsidR="001636AB" w:rsidRPr="00376B04" w:rsidRDefault="001E69B6" w:rsidP="00D31A46">
      <w:pPr>
        <w:rPr>
          <w:rStyle w:val="fontstyle01"/>
          <w:rFonts w:ascii="Times New Roman" w:hAnsi="Times New Roman" w:cs="Times New Roman"/>
          <w:sz w:val="24"/>
          <w:szCs w:val="24"/>
        </w:rPr>
      </w:pPr>
      <w:r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       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Снижение функции почек, по современным представлениям, является самостоятельной и важной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причиной ускоренного развития патологических изменений </w:t>
      </w:r>
      <w:proofErr w:type="spellStart"/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сердечно</w:t>
      </w:r>
      <w:r w:rsidR="00D31A46" w:rsidRPr="00376B04">
        <w:rPr>
          <w:rStyle w:val="fontstyle01"/>
          <w:rFonts w:cs="Times New Roman"/>
          <w:sz w:val="24"/>
          <w:szCs w:val="24"/>
        </w:rPr>
        <w:t>‐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сосудистой</w:t>
      </w:r>
      <w:proofErr w:type="spellEnd"/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 системы. Это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обусловлено рядом метаболических и гемодинамических нарушений, которые развиваются у больных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со сниженной скоростью клубочковой фильтрации, когда возникают и выходят на первый план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нетрадиционные, «почечные» факторы </w:t>
      </w:r>
      <w:proofErr w:type="spellStart"/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сердечно</w:t>
      </w:r>
      <w:r w:rsidR="00D31A46" w:rsidRPr="00376B04">
        <w:rPr>
          <w:rStyle w:val="fontstyle01"/>
          <w:rFonts w:cs="Times New Roman"/>
          <w:sz w:val="24"/>
          <w:szCs w:val="24"/>
        </w:rPr>
        <w:t>‐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сосудистого</w:t>
      </w:r>
      <w:proofErr w:type="spellEnd"/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 риска: альбуминурия/протеинурия,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системное воспаление, </w:t>
      </w:r>
      <w:proofErr w:type="spellStart"/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оксидативный</w:t>
      </w:r>
      <w:proofErr w:type="spellEnd"/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 стресс, анемия, </w:t>
      </w:r>
      <w:proofErr w:type="spellStart"/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гипергомоцистеинемия</w:t>
      </w:r>
      <w:proofErr w:type="spellEnd"/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 и др</w:t>
      </w:r>
      <w:proofErr w:type="gramStart"/>
      <w:r w:rsidR="00D31A46" w:rsidRPr="00376B04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Оказание помощи пациентам с ХБП требует высоких материальных затрат. В первую очередь, это касается проведения заместительной почечной терапии – диализа 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трансплантации почки, которая жизненно необходима пациентам с терминальной почечной</w:t>
      </w:r>
      <w:r w:rsidR="00DF376B"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недостаточностью, развивающейся в исходе нефропатий различной природы. По ориентировочным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оценкам во всем мире на программы диализа в начале 2000</w:t>
      </w:r>
      <w:r w:rsidR="001636AB" w:rsidRPr="00376B04">
        <w:rPr>
          <w:rStyle w:val="fontstyle01"/>
          <w:rFonts w:cs="Times New Roman"/>
          <w:sz w:val="24"/>
          <w:szCs w:val="24"/>
        </w:rPr>
        <w:t>‐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х годов ежегодно выделялось 70–75</w:t>
      </w:r>
      <w:r w:rsidR="001636AB"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млрд</w:t>
      </w:r>
      <w:proofErr w:type="spellEnd"/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 $.</w:t>
      </w:r>
    </w:p>
    <w:p w:rsidR="001636AB" w:rsidRPr="00376B04" w:rsidRDefault="001E69B6" w:rsidP="00D31A46">
      <w:pPr>
        <w:rPr>
          <w:rStyle w:val="fontstyle01"/>
          <w:rFonts w:ascii="Times New Roman" w:hAnsi="Times New Roman" w:cs="Times New Roman"/>
          <w:sz w:val="24"/>
          <w:szCs w:val="24"/>
        </w:rPr>
      </w:pPr>
      <w:r w:rsidRPr="00376B04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proofErr w:type="gramStart"/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В России, по данным Регистра Российского </w:t>
      </w:r>
      <w:proofErr w:type="spellStart"/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диализного</w:t>
      </w:r>
      <w:proofErr w:type="spellEnd"/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 общества, в 2007 году различные виды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заместительной поч</w:t>
      </w:r>
      <w:r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ечной терапии получали более 20 тысяч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человек, ежегодный прирост числа этих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больных в среднем составляет 10,5%. В нашей стране средний возраст больных, получающих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заместительную почечную терапию, составляет 47 лет, т.е. в значительной мере страдает молодая,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трудоспособная часть населения.</w:t>
      </w:r>
      <w:proofErr w:type="gramEnd"/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 На сегодняшний день, несмотря на определенный прогресс в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развитии заместительной почечной терапии в России в течение последних 10 лет, обеспеченность</w:t>
      </w:r>
      <w:r w:rsidR="001636AB"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населения РФ этими видами лечения остается в 2,5–7 раз ниже, чем в странах Евросоюза, в 12 раз</w:t>
      </w:r>
      <w:r w:rsidR="00DF376B"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ниже, чем в СШ</w:t>
      </w:r>
      <w:r w:rsidRPr="00376B04">
        <w:rPr>
          <w:rStyle w:val="fontstyle01"/>
          <w:rFonts w:ascii="Times New Roman" w:hAnsi="Times New Roman" w:cs="Times New Roman"/>
          <w:sz w:val="24"/>
          <w:szCs w:val="24"/>
        </w:rPr>
        <w:t>А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. В то же время, возможности </w:t>
      </w:r>
      <w:proofErr w:type="spellStart"/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нефропротективной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терапии</w:t>
      </w:r>
      <w:r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, которая позволяет затормозить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прогрессирование ХБП и стабилизировать функцию почек, а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затраты на которую в 100 раз ниже, чем на заместительную почечную терапию, используются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неэффективно.</w:t>
      </w:r>
    </w:p>
    <w:p w:rsidR="001636AB" w:rsidRPr="00376B04" w:rsidRDefault="001E69B6" w:rsidP="00D31A46">
      <w:pPr>
        <w:rPr>
          <w:rStyle w:val="fontstyle01"/>
          <w:rFonts w:ascii="Times New Roman" w:hAnsi="Times New Roman" w:cs="Times New Roman"/>
          <w:sz w:val="24"/>
          <w:szCs w:val="24"/>
        </w:rPr>
      </w:pPr>
      <w:r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        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Таким образом, быстрый рост в популяции числа больных со сниженной функцией почек – не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узкоспециальная, а общемедицинская междисциплинарная проблема, имеющая серьезные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социально</w:t>
      </w:r>
      <w:r w:rsidR="001636AB" w:rsidRPr="00376B04">
        <w:rPr>
          <w:rStyle w:val="fontstyle01"/>
          <w:rFonts w:cs="Times New Roman"/>
          <w:sz w:val="24"/>
          <w:szCs w:val="24"/>
        </w:rPr>
        <w:t>‐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экономические</w:t>
      </w:r>
      <w:proofErr w:type="spellEnd"/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 последствия. Она требует, с одной стороны, перестройки и усиления </w:t>
      </w:r>
      <w:proofErr w:type="spellStart"/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нефрологической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службы – не только за счет открытия новых </w:t>
      </w:r>
      <w:proofErr w:type="spellStart"/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диализных</w:t>
      </w:r>
      <w:proofErr w:type="spellEnd"/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 центров и развития трансплантологии, но и</w:t>
      </w:r>
      <w:r w:rsidR="001636AB"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укрепления ее структур, направленных на проведение </w:t>
      </w:r>
      <w:proofErr w:type="spellStart"/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этиотропного</w:t>
      </w:r>
      <w:proofErr w:type="spellEnd"/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, патогенетического 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нефропротективного</w:t>
      </w:r>
      <w:proofErr w:type="spellEnd"/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 лечения с целью предотвращения терминальной почечной недостаточности. С</w:t>
      </w:r>
      <w:r w:rsidR="001636AB"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другой стороны – необходима всемерная интеграция нефрологии и первичного звена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здравоохранения, а также других специально</w:t>
      </w:r>
      <w:r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стей с целью проведения широких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профилактических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мероприятий, ранн</w:t>
      </w:r>
      <w:r w:rsidRPr="00376B04">
        <w:rPr>
          <w:rStyle w:val="fontstyle01"/>
          <w:rFonts w:ascii="Times New Roman" w:hAnsi="Times New Roman" w:cs="Times New Roman"/>
          <w:sz w:val="24"/>
          <w:szCs w:val="24"/>
        </w:rPr>
        <w:t xml:space="preserve">ей диагностики ХБП, обеспечения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преемственности лечения и эффективного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36AB" w:rsidRPr="00376B04">
        <w:rPr>
          <w:rStyle w:val="fontstyle01"/>
          <w:rFonts w:ascii="Times New Roman" w:hAnsi="Times New Roman" w:cs="Times New Roman"/>
          <w:sz w:val="24"/>
          <w:szCs w:val="24"/>
        </w:rPr>
        <w:t>использования имеющихся ресурсов.</w:t>
      </w:r>
    </w:p>
    <w:p w:rsidR="005F7DC9" w:rsidRPr="00376B04" w:rsidRDefault="005F7DC9" w:rsidP="005F7DC9">
      <w:pPr>
        <w:jc w:val="center"/>
        <w:rPr>
          <w:rStyle w:val="fontstyle01"/>
          <w:rFonts w:ascii="Times New Roman" w:hAnsi="Times New Roman" w:cs="Times New Roman"/>
          <w:b/>
          <w:sz w:val="24"/>
          <w:szCs w:val="24"/>
        </w:rPr>
      </w:pPr>
      <w:r w:rsidRPr="00376B04">
        <w:rPr>
          <w:rStyle w:val="fontstyle01"/>
          <w:rFonts w:ascii="Times New Roman" w:hAnsi="Times New Roman" w:cs="Times New Roman"/>
          <w:b/>
          <w:sz w:val="24"/>
          <w:szCs w:val="24"/>
        </w:rPr>
        <w:t>Определение ХБП</w:t>
      </w:r>
    </w:p>
    <w:p w:rsidR="005F7DC9" w:rsidRPr="00376B04" w:rsidRDefault="005F7DC9" w:rsidP="00D31A46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  ХБП – понятие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наднозологическое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 в тоже время не является формальным объединением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хронических почечных заболеваний различной природы в одну большую аморфную группу, подменяя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этиологический принцип. Понятие ХБП, с одной стороны, отражает наличие общих факторов риска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развития и прогрессирования нефропатий, универсальных механизмов формирования нефросклероза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и вытекающих отсюда способов первичной и вторичной профилактики, а также наличие общего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исхода – терминальной почечной недостаточности.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Следует подчеркнуть, что понятие ХБП не отменяет нозологический подход к диагностике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заболеваний почек. Необходимо добиваться идентификации конкретной причины (или причин)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развития повреждения почек для того, чтобы установить нозологический диагноз и максимально рано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назначить соответствующую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этиотропную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 патогенетическую терапию. В то же время, концепция ХБП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при разных нозологических формах является универсальным инструментом для определения степени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нарушения функции, расчета риска развития терминальной почечной недостаточности 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сердечнососудистых осложнений, планирования и оценки эффективности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нефропротективного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лечения, подготовки и начала заместительной почечной терапии.</w:t>
      </w:r>
      <w:r w:rsidRPr="00376B04">
        <w:rPr>
          <w:rFonts w:ascii="Times New Roman" w:hAnsi="Times New Roman" w:cs="Times New Roman"/>
          <w:sz w:val="24"/>
          <w:szCs w:val="24"/>
        </w:rPr>
        <w:t xml:space="preserve"> 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</w:t>
      </w:r>
    </w:p>
    <w:p w:rsidR="005F7DC9" w:rsidRPr="00376B04" w:rsidRDefault="005F7DC9" w:rsidP="00D31A4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Под ХБП следует понимать наличие любых маркеров, связанных с повреждением почек и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персистирующих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течение более трех месяцев вне зависимости от нозологического диагноза.</w:t>
      </w:r>
      <w:r w:rsidRPr="00376B04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Под маркерами повреждения почек следует понимать любые изменения, выявляющиеся при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клинико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лабораторном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обследовании, которые отражают наличие патологического процесса в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почечной ткани.</w:t>
      </w:r>
    </w:p>
    <w:p w:rsidR="005F7DC9" w:rsidRPr="00376B04" w:rsidRDefault="005F7DC9" w:rsidP="00D31A4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>Критерием снижения функции почек является уровень скорости клубочковой фильтрации,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стандартизированной на поверхность тела, находящийся ниже нормальных значений, т.е. ниже 90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мл/мин/1,73 м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СКФ в пределах 60–89 мл/мин/1,73 м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расценивают как начальное или незначительное ее снижение.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Для установления ХБП в этом случае необходимо наличие также и маркеров почечного повреждения.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При их отсутствии ХБП не диагностируется. Для лиц 65 лет и старше это расценивают как вариант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возрастной нормы. Лиц моложе этого возраста относят в группу высокого риска развития ХБП, им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рекомендуют контроль состояния почек не реже 1 раза в год, активную профилактику ХБП.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Если СКФ ниже 60–89 мл/мин/1,73 м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, наличие ХБП устанавливается даже при отсутствии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каких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либо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маркеров почечного повреждения.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3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месячное ограничение (критерий «стойкости») в качестве временного параметра определения ХБП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было выбрано потому, что в данные сроки острые варианты развития дисфункции почек, как правило,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завершаются выздоровлением или приводят к очевидным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клинико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морфологическим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признакам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хронизации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процесса.</w:t>
      </w:r>
    </w:p>
    <w:p w:rsidR="005F7DC9" w:rsidRPr="00376B04" w:rsidRDefault="005F7DC9" w:rsidP="005F7DC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376B04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Критерии постановки диагноза:</w:t>
      </w:r>
    </w:p>
    <w:p w:rsidR="005F7DC9" w:rsidRPr="00376B04" w:rsidRDefault="005F7DC9" w:rsidP="005F7DC9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</w:t>
      </w:r>
      <w:proofErr w:type="gram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Диагноз ХБП следует устанавливать на основании следующих критериев: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1) выявление любых клинических маркеров повреждения почек, подтвержденных на протяжении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периода длительностью не менее 3 месяцев;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2) наличие маркеров необратимых структурных изменений органа, выявленных однократно при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прижизненном морфологическом исследовании органа или при его визуализации;</w:t>
      </w:r>
      <w:proofErr w:type="gram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3) снижение скорости клубочковой фильтрации (СКФ) &lt; 60 мл/мин/1,73 м</w:t>
      </w:r>
      <w:proofErr w:type="gram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2</w:t>
      </w:r>
      <w:proofErr w:type="gram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, сохраняющееся в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течение трех и более месяцев, вне зависимости от наличия других признаков повреждения почек.</w:t>
      </w:r>
    </w:p>
    <w:p w:rsidR="005F7DC9" w:rsidRPr="00376B04" w:rsidRDefault="005F7DC9" w:rsidP="005F7D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Диагностика ХБП может базироваться на выявлении любых морфологических и клинических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маркеров почечного повреждения в зависимости от клинической ситуации. Для постановки диагноза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ХБП целесообразно руководствоваться следующим алгоритмом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соответствии с определением, для диагностики ХБП необходимо подтверждение наличия маркеров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повреждения почек при повторных исследованиях, как минимум, в течение 3 мес. Такой же интервал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необходим для подтверждения снижения уровня СКФ&lt;60 мл/мин, в том случае, если СКФ&lt;60 мл/мин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выступает в роли единственного маркера ХБП. Для диагностики ХБП может оказаться достаточным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однократное исследование, если оно недвусмысленно указывает на необратимые структурные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изменения органа (данные визуализирующих инструментальных методов или прижизненного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морфологического исследования).</w:t>
      </w:r>
    </w:p>
    <w:p w:rsidR="005A54E9" w:rsidRPr="00376B04" w:rsidRDefault="005A54E9" w:rsidP="005A54E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/>
          <w:color w:val="000000"/>
          <w:sz w:val="24"/>
          <w:szCs w:val="24"/>
        </w:rPr>
        <w:t>Алгоритм диагностики ХБП</w:t>
      </w:r>
    </w:p>
    <w:p w:rsidR="005F7DC9" w:rsidRPr="00376B04" w:rsidRDefault="005F7DC9" w:rsidP="005F7DC9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555365"/>
            <wp:effectExtent l="19050" t="0" r="3175" b="0"/>
            <wp:docPr id="3" name="Рисунок 2" descr="алгоритм хб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горитм хбп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E9" w:rsidRPr="00376B04" w:rsidRDefault="005A54E9" w:rsidP="005F7DC9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Для оценки СКФ в широкой (амбулаторной) клинической практике целесообразно применять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значения этого показателя, полученные на основании расчетных формул (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рСКФ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), включающих пол,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возраст пациента и концентрацию 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сыворотке крови; 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клиренсовые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методы при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необходимости наиболее точного определения СКФ предпочтительно использовать в условиях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стационара. У больных ХБП недопустимо использование только концентрации 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сыворотке крови с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целью оценки функции почек; каждое определение концентрации 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сыворотке 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крови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или указание на него в медицинской документации должно сопровождаться расчетом СКФ.</w:t>
      </w:r>
    </w:p>
    <w:p w:rsidR="005F7DC9" w:rsidRPr="00376B04" w:rsidRDefault="005A54E9" w:rsidP="005F7D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Наиболее точными являются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клиренсовые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методы оценки функции почек – по клиренсу экзогенных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веществ: инулина, 51Cr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ЭДТА (этилендиаминтетрауксусная кислота), 99mTcDTPA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(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диэтилентриаминопентауксусная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кислота), 125I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йоталамата или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йогексола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которые вводятся в кровь.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Они остаются «золотым стандартом» измерения СКФ, однако техническая сложность и трудоемкость,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необходимость введения чужеродного вещества в кровь, высокая стоимость ограничивают их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применение. В настоящее время они используются в научных исследованиях, а также в клинических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ситуациях, когда требуется максимально точное определение СКФ, например, при оценке функции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почек на фоне химиотерапии или у потенциального родственного донора. Радиоизотопные методы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исследования СКФ позволяют раздельно оценить функциональное состояние правой и левой почки,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что имеет значение при заболеваниях с односторонним поражением, некоторых аномалиях почек 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т.д.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Клиренсовые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методы исследования СКФ с использованием экзогенных веществ являются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стандартными для проверки точности всех других методов.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Оценка СКФ по клиренсу эндогенного вещества –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который поступает в кровь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естественным образом в процессе самообновления мышечной ткани с примерно постоянной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скоростью, более удобно, хотя и менее точно, чем по клиренсу экзогенных веществ. Проводится проба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Реберга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–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Тареева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основанная на сборе мочи в течение 24 ч. Определяется объем суточной мочи,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концентрация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в суточной моче и в крови, взятой после завершения пробы. СКФ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рассчитывается по приведенной формуле.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Формула для оценки СКФ по клиренсу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</w:t>
      </w:r>
      <w:r w:rsidR="005A67AB" w:rsidRPr="00376B04">
        <w:rPr>
          <w:rFonts w:ascii="Times New Roman" w:hAnsi="Times New Roman" w:cs="Times New Roman"/>
          <w:color w:val="000000"/>
          <w:sz w:val="24"/>
          <w:szCs w:val="24"/>
        </w:rPr>
        <w:t>инина</w:t>
      </w:r>
      <w:proofErr w:type="spellEnd"/>
      <w:r w:rsidR="005A67AB"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(в пробе </w:t>
      </w:r>
      <w:proofErr w:type="spellStart"/>
      <w:r w:rsidR="005A67AB" w:rsidRPr="00376B04">
        <w:rPr>
          <w:rFonts w:ascii="Times New Roman" w:hAnsi="Times New Roman" w:cs="Times New Roman"/>
          <w:color w:val="000000"/>
          <w:sz w:val="24"/>
          <w:szCs w:val="24"/>
        </w:rPr>
        <w:t>Реберга</w:t>
      </w:r>
      <w:proofErr w:type="spellEnd"/>
      <w:r w:rsidR="005A67AB" w:rsidRPr="00376B04">
        <w:rPr>
          <w:rFonts w:ascii="Times New Roman" w:hAnsi="Times New Roman" w:cs="Times New Roman"/>
          <w:color w:val="000000"/>
          <w:sz w:val="24"/>
          <w:szCs w:val="24"/>
        </w:rPr>
        <w:t>–</w:t>
      </w:r>
      <w:proofErr w:type="spellStart"/>
      <w:r w:rsidR="005A67AB" w:rsidRPr="00376B04">
        <w:rPr>
          <w:rFonts w:ascii="Times New Roman" w:hAnsi="Times New Roman" w:cs="Times New Roman"/>
          <w:color w:val="000000"/>
          <w:sz w:val="24"/>
          <w:szCs w:val="24"/>
        </w:rPr>
        <w:t>Тареева</w:t>
      </w:r>
      <w:proofErr w:type="spellEnd"/>
      <w:r w:rsidR="005A67AB"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5A67AB" w:rsidRPr="00376B04" w:rsidRDefault="005A67AB" w:rsidP="005F7D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>Сбор суточной мочи представляет определенные затруднения для пациентов, особенно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амбулаторных. Кроме того, высока вероятность ошибки, связанной с неправильным сбором мочи или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неточным измерением ее объема. Для точности пробы необходим достаточный суточный диурез (не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менее 1000 мл).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В широкой практике, учитывая трудности, связанные с проведением пробы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Реберга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–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Тареева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состояние функции почек было принято оценивать по уровню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сыворотки крови, поскольку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он находится в обратной, хотя и нелинейной зависимости от СКФ. Как показали многочисленные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исследования, такой подход является грубым, неточным и поэтому некорректным. Он не учитывает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различные факторы, помимо клубочковой фильтрации, оказывающие влияние на кинетику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: величину мышечной массы, которая определяет скорость поступления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кровь и зависит от пола и возраста, а также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канальцевую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секрецию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которая у здоровых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людей не превышает 10% от общего 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количества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выводимого с мочой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а у больных с 3б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стадиями ХБП может превышать 40%. Таким образом, у пожилых людей, женщин, лиц с небольшой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мышечной массой, при выраженных стадиях ХБП использование уровня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крови для оценки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функции почек приводит к ошибке – завышению СКФ по сравнению с ее истинным значением,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определяемым при помощи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клиренсовых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методов с использованием экзогенных веществ, а значит,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недооценке тяжести ХБП.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Уровень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, превышающий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референсные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значения, безусловно, свидетельствует 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нарушении функции почек.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Однако важно подчеркнуть, что во многих случаях и при значениях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укладывающихся в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референсные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пределы, СКФ может быть существенно 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снижена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По современным представлениям, уровень сывороточного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вследствие указанных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погрешностей не может быть использован ни для оценки выраженности дисфункции почек, ни для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решения вопроса о начале заместительной терапии.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 начала 70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х годов прошлого века делаются попытки разработать формулу, которая позволила бы,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определив уровень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сыворотки крови и несколько дополнительных показателей, влияющих на его образование в организме, получить расчетную СКФ, наиболее близкую по значению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истинной СКФ, измеренной по клиренсу инулина или другими точными методами.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Первой формулой, получившей широкое применение в нефрологии, клинической фармакологии 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других областях медицины, стала формула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Кокрофта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–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Голта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[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Cockcroft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DW,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Gault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MH, 1976]. Она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проста, однако полученное значение желательно стандартизировать на поверхность тела пациента,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что значительно усложняет расчеты.</w:t>
      </w:r>
    </w:p>
    <w:p w:rsidR="005A67AB" w:rsidRPr="00376B04" w:rsidRDefault="005A67AB" w:rsidP="005F7D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>В 90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е годы группой экспертов на основании данных исследования MDRD (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Modifcation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Diet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in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Renal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Disease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)  были предложены новые уравнения, более точные, чем формула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Кокрофта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–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Голта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и не требующие дополнительной стандартизации на поверхность тела, а также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знания антропометрических показателей, получившие название формул MDRD. Чтобы рассчитать СКФ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 помощи сокращенного варианта формулы MDRD, достаточно знать уровень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сыворотки крови, пол, возраст и расу пациента, что делает ее очень удобной для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скрининговых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исследований и амбулаторной практики. Однако формула MDRD имеет ряд существенных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недостатков. На 3–5 стадиях ХБП она точнее отражает функцию, чем формула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Cockcroft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–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Gault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однако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при истинной СКФ выше 60 мл/мин/1,73 м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она дает неточные (заниженные) результаты [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Hallan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S 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соавт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., 2004;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Ma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YC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соавт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., 2006;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Ibrahim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S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соавт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., 2008]. Уравнения MDRD, полученные при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обследовании популяции Северной Америки, некорректно отражают уровень СКФ у представителей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монголоидной расы и ряда этносов [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Matsuo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S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соавт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., 2009], что актуально для многонационального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населения России.</w:t>
      </w:r>
    </w:p>
    <w:p w:rsidR="005A67AB" w:rsidRPr="00376B04" w:rsidRDefault="005A67AB" w:rsidP="005F7D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>В 2009–2011 гг. той же группой исследователей был разработан наиболее универсальный и точный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метод расчета СКФ, работающий на любой стадии ХБП и у представителей всех трех рас – уравнения CKD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EPI.</w:t>
      </w:r>
    </w:p>
    <w:p w:rsidR="005A67AB" w:rsidRPr="00376B04" w:rsidRDefault="005A67AB" w:rsidP="005A67AB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>Уравнения CKD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EPI, 2009 г., модификация 2011 г.</w:t>
      </w:r>
    </w:p>
    <w:p w:rsidR="005A67AB" w:rsidRPr="00376B04" w:rsidRDefault="005A67AB" w:rsidP="005A67A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539490"/>
            <wp:effectExtent l="19050" t="0" r="3175" b="0"/>
            <wp:docPr id="5" name="Рисунок 4" descr="shvecov_nefroprotekciya_dlya_1_mgmu_120_min_2016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vecov_nefroprotekciya_dlya_1_mgmu_120_min_2016_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AB" w:rsidRPr="00376B04" w:rsidRDefault="00A23266" w:rsidP="005F7D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Нужный вариант выбирается в зависимости от расы, пола и уровня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сыворотки пациента.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Разработчикам удалось преодолеть обе причины искажений: влияние различий в мышечной массе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лиц разного возраста и пола и ошибку, связанную с активацией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канальцевой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секреции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lastRenderedPageBreak/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поздних стадиях ХБП. Формула создана на основании базы данных, включающей 8254 больных. Ее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точность была проверена на 4014 пациентах из США и Европы и 1022 больных из Китая, Японии и Южной Африки (у японцев и южноафриканцев она давала значительную погрешность). Она является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наиболее универсальной и точной из всех используемых на сегодня формул.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Результаты исследований, выполненных в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>анкт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Петербургском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Научно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исследовательском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институте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нефрологии, показали, что стратификация стадий ХБП на основе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CKD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EPI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метода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оценки СКФ довольно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близко совпадает с данными, полученными с помощью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референтного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метода – плазматического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клиренса 99mTcDTPA.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Полученные данные позволяют рекомендовать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CKD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EPI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метод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оценки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рСКФ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как наиболее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оптимальный для амбулаторной клинической практики в настоящее время. Дополнительной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стандартизации на поверхность тела, так же как при использовании формулы MDRD, не требуется.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Для удобства пользования формулой разработаны компьютерные программы и номограммы (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см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Приложение). Для широкого внедрения расчетных методов оценки функции почек рекомендуется,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чтобы каждое определение уровня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сыворотки в биохимической лаборатории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сопровождалось расчетом СКФ по уравнениям CKD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EPI, которые должны быть заложены в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программное обеспечение лаборатории. В бланке лаборатории, помимо уровня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сыворотки, должен обязательно указываться уровень СКФ, рассчитанный по формуле CKD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EPI для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данного больного.</w:t>
      </w:r>
    </w:p>
    <w:p w:rsidR="00A23266" w:rsidRPr="00376B04" w:rsidRDefault="00A23266" w:rsidP="005F7D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>Таким образом, на сегодняшний день в медицинской практике используются целый ряд формул для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расчета СКФ. У взрослых наиболее безупречным, с точки зрения универсальности и точности, является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метод CKD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EPI, который вытесняет устаревшие формулы MDRD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Кокрофта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–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Голта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 С целью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унификации подходов к диагностике ХБП НОНР рекомендует оценивать СКФ у взрослых методом CKD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EPI. У детей рекомендуется использовать формулу Шварца.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Существуют ряд ситуаций, в которых использование расчетных методов оценки СКФ некорректно: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нестандартные размеры тела (пациенты с ампутацией конечностей,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бодибилдеры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);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выраженные истощение и ожирение (ИМТ&lt;15 и &gt;40 кг/м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>);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беременность;</w:t>
      </w:r>
    </w:p>
    <w:p w:rsidR="00A23266" w:rsidRPr="00376B04" w:rsidRDefault="00A23266" w:rsidP="005F7D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заболевания скелетной мускулатуры (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миодистрофии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);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параплегия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квадриплегия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lastRenderedPageBreak/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вегетарианская диета;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быстрое снижение функции почек (острый и быстро прогрессирующий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гломерулонефрит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острое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почечное повреждение);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необходимость назначения токсичных препаратов, выводимых почками (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например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химиотерапия)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– для определения их безопасной дозы;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при решении вопроса о начале заместительной почечной терапии;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больные с почечным трансплантатом.</w:t>
      </w:r>
    </w:p>
    <w:p w:rsidR="00A23266" w:rsidRPr="00376B04" w:rsidRDefault="00A23266" w:rsidP="005F7D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>В таких обстоятельствах необходимо воспользоваться, как минимум, стандартным измерением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клиренса эндогенного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(проба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Реберга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–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Тареева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) или другими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клиренсовыми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методами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(обычно плазматическими или почечными клиренсами комплексонов или рентгеновских контрастов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23266" w:rsidRPr="00376B04" w:rsidRDefault="00A23266" w:rsidP="005F7DC9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У каждого больного с ХБП следует выполнять исследование уровня альбуминурии/протеинурии,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поскольку этот показатель имеет </w:t>
      </w:r>
      <w:proofErr w:type="gram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важное значение</w:t>
      </w:r>
      <w:proofErr w:type="gram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для диагностики ХБП, оценки прогноза ее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течения, риска 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сердечно</w:t>
      </w:r>
      <w:r w:rsidRPr="00376B04">
        <w:rPr>
          <w:rFonts w:ascii="Cambria Math" w:hAnsi="Cambria Math" w:cs="Times New Roman"/>
          <w:bCs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сосудистых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осложнений, а также выбора тактики лечения.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Для оценки альбуминурии/протеинурии следует определять ее уровень в суточной моче или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отношение альбумин/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креатинин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, или общий белок/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креатинин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разовой, предпочтительно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утренней порции мочи.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Исследование экскреции альбумина с мочой следует проводить с целью диагностики и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мониторинга ХБП при отсутствии протеинурии в разовых порциях мочи или уровне протеинурии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&lt;0,5 г/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сут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(или ее эквивалента по определению отношения общий белок мочи/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креатинин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мочи).</w:t>
      </w:r>
    </w:p>
    <w:p w:rsidR="00A23266" w:rsidRPr="00376B04" w:rsidRDefault="00A23266" w:rsidP="005F7D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>Имеющиеся в настоящее время данные позволяют утверждать, что скрининг и диагностика ХБП,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основанные только на расчете СКФ, не являются клинически и экономически эффективной стратегией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предупреждения терминальной почечной недостаточности (ТПН)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сердечно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сосудистых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заболеваний. Одновременная оценка двух основных показателей – СКФ и альбуминурии/протеинурии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– занимает центральное место в первичной диагностике ХБП так же и потому, что эти показатели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используются для определения прогноза, контроля течения и/или темпов прогрессирования на фоне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терапии.</w:t>
      </w:r>
    </w:p>
    <w:p w:rsidR="00A23266" w:rsidRPr="00376B04" w:rsidRDefault="00A23266" w:rsidP="005F7D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>Сравнительная характеристика методов оценки скорости клубочковой фильтрации (СКФ)</w:t>
      </w:r>
    </w:p>
    <w:p w:rsidR="00A23266" w:rsidRPr="00376B04" w:rsidRDefault="00A23266" w:rsidP="005F7D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43625" cy="4822959"/>
            <wp:effectExtent l="19050" t="0" r="9525" b="0"/>
            <wp:docPr id="6" name="Рисунок 5" descr="nefr-4--tab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fr-4--tab5-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180" cy="4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266" w:rsidRPr="00376B04" w:rsidRDefault="00A23266" w:rsidP="005F7D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>Следует иметь в виду, что для ранних стадий ХБП (1–2) характерно бессимптомное течение, а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явные клинические проявления и изменения почек, по данным визуализирующих методов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сследования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как правило, указывают на далеко зашедший процесс. В клинической практике при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отсутствии любых других признаков хронического повреждения почек повышенный уровень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альбуминурии может быть единственным показателем, отражающим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субклиническое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течение ХБП.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В особенности это касается медленно развивающихся почечных процессов, таких как сосудистые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поражения 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почек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в результате артериальной гипертензии, диабета, ожирения, что является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принципиально важным для осуществления мер по вторичной профилактике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сердечно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сосудистых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осложнений и прогрессирования ХБП.</w:t>
      </w:r>
    </w:p>
    <w:p w:rsidR="00A23266" w:rsidRPr="00376B04" w:rsidRDefault="00A23266" w:rsidP="005F7D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>Альбуминурия/протеинурия в концепции ХБП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K/DOQI рассматривается как маркер ренальной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дисфункции. Однако физиологическое и клиническое значение этого показателя является более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широким.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Данный признак отражает, по крайней мере, следующие патофизиологические сдвиги: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повышение проницаемости клеточных мембран (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размер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селективность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заряд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селективность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);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изменения транспортных процессов в проксимальных канальцах;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повышение гемодинамической нагрузки на клубочек;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наличие системной и ренальной эндотелиальной дисфункции.</w:t>
      </w:r>
    </w:p>
    <w:p w:rsidR="00A23266" w:rsidRPr="00376B04" w:rsidRDefault="00A23266" w:rsidP="005F7D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Проблема градации альбуминурии/протеинурии стала предметом дискуссии на Лондонской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конференции KDIGO 2009 г. Были оставлены прежние градации выраженности альбуминурии («стадии альбуминурии») – &lt;30; 30– 299; &gt;300 мг альбумина/г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мочи. Вместо традиционной терминологии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«нормоальбуминурия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микроальбуминурия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макроальбуминурия/протеинурия» для описания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выраженности мочевой экскреции альбумина (МЭА) предложено использовать определения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«оптимальный» (&lt;10 мг/г), «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высоконормальный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» (10–29 мг/г), «высокий» (30–299 мг/г), «очень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высокий» (300–1999 мг/г) и «нефротический» (&gt;2000 мг/г). Использование терминов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«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нормоальбуминурия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», «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микроальбуминурия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», «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макроальбуминурия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» в настоящее время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представляется нежелательным.</w:t>
      </w:r>
    </w:p>
    <w:p w:rsidR="00A23266" w:rsidRPr="00376B04" w:rsidRDefault="00A23266" w:rsidP="005F7DC9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В практической работе ХБП следует разделять на стадии в зависимости от значений скорости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клубочковой фильтрации.</w:t>
      </w:r>
    </w:p>
    <w:p w:rsidR="00A23266" w:rsidRPr="00376B04" w:rsidRDefault="00A23266" w:rsidP="005F7D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>Суммарный анализ многочисленных публикаций, частично цитированных выше, показал, что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почечный и кардиоваскулярный прогноз существенно зависит от величины СКФ. Поэтому уже в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первом варианте классификации ХБП было предложено разделять ее на пять стадий [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National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Kidney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Foundation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KD: … 2002].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Этот основной принцип стратификации тяжести ХБП сохраняется до настоящего времени. С другой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стороны, накопление новых данных заставило несколько его модифицировать. Прежде всего, это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касается третьей стадии ХБП.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Такое разделение целесообразно, поскольку почечный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сердечно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сосудистый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прогнозы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неодинаковы в группах лиц с ХБП 3 ст. с СКФ от 59 до 45 мл/мин/1,73 м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 от 44 до 30 мл/мин/1,73 м2.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Если в подгруппе лиц с СКФ от 59 до 45 мл/мин/1,73 м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весьма высоки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сердечно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сосудистые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риски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при умеренных темпах прогрессирования ХБП, то у пациентов с градацией СКФ в пределах от 44 до 30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мл/мин/1,73 м2 риск развития ТПН оказывается выше, чем риск летальных сердечнососудистых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осложнений [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Go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AS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соавт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., 2004; </w:t>
      </w:r>
      <w:proofErr w:type="spellStart"/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Levey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AS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соавт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., 2005;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Glynn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LG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соавт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., 2007;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Levey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AS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соавт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2010].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Целесообразность градации 3 стадии ХБП на две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подстадии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(3а и 3б) была обоснована в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«Рекомендациях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Научноисследовательского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института нефрологии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>анкт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Петербургского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государственного медицинского университета им. акад. И.П. Павлова: определение, 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классификация,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диагностика и основные направления профилактики хронической болезни почек у взрослых»,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опубликованных в 2008 г. [Смирнов АВ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соавт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., 2008].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Позже необходимость такого подхода была поддержана другими отечественными специалистами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[Шилов ЕМ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соавт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., 2011]. Кроме того, на представительной конференции в октябре 2009 г. в Лондоне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эксперты KDIGO также пришли к консенсусу по этому вопросу. Поэтому в настоящее время следует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рекомендовать следующую стратификацию тяжести ХБП по уровню СКФ.</w:t>
      </w:r>
    </w:p>
    <w:p w:rsidR="005D2C01" w:rsidRPr="00376B04" w:rsidRDefault="005D2C01" w:rsidP="005F7D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Каждую стадию ХБП следует индексировать в зависимости от выраженности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альбуминурии/протеинурии; для случаев заместительной почечной терапии следует указывать ее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вид – диализ (Д) и трансплантация (Т).</w:t>
      </w:r>
    </w:p>
    <w:p w:rsidR="005D2C01" w:rsidRPr="00376B04" w:rsidRDefault="005D2C01" w:rsidP="005D2C0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2C01" w:rsidRPr="00376B04" w:rsidRDefault="005D2C01" w:rsidP="005D2C0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2C01" w:rsidRPr="00376B04" w:rsidRDefault="005D2C01" w:rsidP="005D2C0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23266" w:rsidRPr="00376B04" w:rsidRDefault="005D2C01" w:rsidP="005D2C0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</w:t>
      </w:r>
      <w:r w:rsidR="00A23266" w:rsidRPr="00376B04">
        <w:rPr>
          <w:rFonts w:ascii="Times New Roman" w:hAnsi="Times New Roman" w:cs="Times New Roman"/>
          <w:b/>
          <w:color w:val="000000"/>
          <w:sz w:val="24"/>
          <w:szCs w:val="24"/>
        </w:rPr>
        <w:t>Стратификация стадий ХБП по уровню СКФ</w:t>
      </w:r>
    </w:p>
    <w:p w:rsidR="00A23266" w:rsidRPr="00376B04" w:rsidRDefault="00A23266" w:rsidP="00A2326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10300" cy="1609725"/>
            <wp:effectExtent l="19050" t="0" r="0" b="0"/>
            <wp:docPr id="7" name="Рисунок 6" descr="0012-005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-005-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01" w:rsidRPr="00376B04" w:rsidRDefault="005D2C01" w:rsidP="00A2326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/>
          <w:color w:val="000000"/>
          <w:sz w:val="24"/>
          <w:szCs w:val="24"/>
        </w:rPr>
        <w:t>Индексация альбуминурии/протеинурии</w:t>
      </w:r>
    </w:p>
    <w:p w:rsidR="005D2C01" w:rsidRPr="00376B04" w:rsidRDefault="005D2C01" w:rsidP="00A2326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10300" cy="1381125"/>
            <wp:effectExtent l="19050" t="0" r="0" b="0"/>
            <wp:docPr id="8" name="Рисунок 7" descr="альбуминур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ьбуминурия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01" w:rsidRPr="00376B04" w:rsidRDefault="005D2C01" w:rsidP="005D2C0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>У больных с А3–А4, что соответствует протеинурии &gt;0,5 г/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для оценки тяжести поражения почек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вместо исследования альбуминурии, с точки зрения экономии бюджета, можно использовать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определение общего белка в суточной моче (суточная протеинурия) или отношения общий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белок/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в утренней порции мочи.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Очевидно, что у больных, получающих лечение постоянным гемодиализом или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перитонеальным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диализом, необходимости в индексации альбуминурии/протеинурии нет.</w:t>
      </w:r>
    </w:p>
    <w:p w:rsidR="005D2C01" w:rsidRPr="00376B04" w:rsidRDefault="005D2C01" w:rsidP="005D2C01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В каждом случае ХБП следует стремиться к идентификации конкретной этиологической причины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(или причин) развития повреждения почек (нозологии). В исключительных случаях диагноз ХБП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может быть установлен без детализации (диагностики) ее причины или до проведения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окончательной диагностики, или когда диагноз почечного заболевания не удается установить,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несмотря на тщательно проведенное обследование.</w:t>
      </w:r>
    </w:p>
    <w:p w:rsidR="005D2C01" w:rsidRPr="00376B04" w:rsidRDefault="005D2C01" w:rsidP="005D2C0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>Следует подчеркнуть, что понятие ХБП, в первую очередь, направлено на необходимость выявления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факта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персистирующего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повреждения почек и оценки их глобальной функции. В то же время, оно ни в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коей мере не отменяет этиологического подхода к диагностике и терапии конкретного заболевания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почек.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Необходимость установления нозологического диагноза и включение первичной патологии почек в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концепцию ХБП вновь были подчеркнуты в последних предложениях KDIGO,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что так же соответствует и традициям отечественной медицины.</w:t>
      </w:r>
    </w:p>
    <w:p w:rsidR="005D2C01" w:rsidRPr="00376B04" w:rsidRDefault="005D2C01" w:rsidP="005D2C01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76B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Скрининг и мониторинг хронической болезни почек</w:t>
      </w:r>
    </w:p>
    <w:p w:rsidR="005D2C01" w:rsidRPr="00376B04" w:rsidRDefault="005D2C01" w:rsidP="005D2C0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Под скринингом ХБП следует понимать раннюю диагностику как самой ХБП, так и факторов риска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(</w:t>
      </w:r>
      <w:proofErr w:type="gram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ФР</w:t>
      </w:r>
      <w:proofErr w:type="gram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ее развития. 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Существенное влияние на развитие и прогрессирование хронических заболеваний почек в той или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иной популяции может оказать целый ряд факторов. К ним относятся распространенность некоторых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инфекций, прием ряда лекарственных препаратов, алкоголь и курение, состояние окружающей среды,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климат, характер и традиции питания, генетические особенности популяции и др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5D2C01" w:rsidRPr="00376B04" w:rsidRDefault="005D2C01" w:rsidP="005D2C0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>Очень важно, что многие факторы, ассоциирующиеся с развитием дисфункции почек, одновременно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являются и «традиционными»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сердечно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сосудистыми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факторами риска, среди которых артериальная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гипертония, сахарный диабет, возраст, мужской пол,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дислипидемия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ожирение, метаболический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синдром,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табакокурение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 другой стороны – результаты многочисленных исследований указывают на то, что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кардиоваскулярные риски, которые в кардиологии принято относить к 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нетрадиционным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(анемия,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хроническое воспаление,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гипергомоцистеинемия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увеличение синтеза асимметричного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диметиларгинина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оксидативный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стресс, активация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ренин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ангиотензин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альдостероновой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системы,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стресс,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гиперурикемия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натрийуретические факторы разного происхождения и др.), ассоциируются и,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скорее всего, обусловлены прогрессирующей дисфункцией почек.</w:t>
      </w:r>
    </w:p>
    <w:p w:rsidR="005D2C01" w:rsidRPr="00376B04" w:rsidRDefault="005D2C01" w:rsidP="005D2C0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>В «концептуальной модели» хронической болезни почек NKF и KGIGO была предпринята попытка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классифицировать факторы риска (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ФР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>) [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Levey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AS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соавт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., 2005]. Выделялись группы 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ФР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>: 1)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повышающие восприимчивость почечной паренхимы к повреждающим агентам; 2) инициирующие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повреждение почечной ткани; 3) способствующие прогрессированию почечного повреждения; 4)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факторы терминальной почечной недостаточности, имеющие значение для решения вопросов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профилактики у больных, получающих заместительную почечную терапию. Однако провести четкую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грань между рядом факторов ХБП (например, инициации и прогрессирования) не представляется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возможным, в этой связи предложена градация 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ФР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основанная на данных эпидемиологических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исследований. Выделяют факторы риска развития ХБП и факторы ее прогрессирования (которые во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многом повторяют факторы риска развития, но также включают ряд клинических характеристик ХБП),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каждую группу которых разделяют 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модифицируемые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немодифицируемые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D2C01" w:rsidRPr="00376B04" w:rsidRDefault="005D2C01" w:rsidP="005D2C0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/>
          <w:color w:val="000000"/>
          <w:sz w:val="24"/>
          <w:szCs w:val="24"/>
        </w:rPr>
        <w:t>Факторы риска развития ХБП</w:t>
      </w:r>
    </w:p>
    <w:p w:rsidR="00DA65C9" w:rsidRPr="00376B04" w:rsidRDefault="00DA65C9" w:rsidP="005D2C0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376B0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210300" cy="2615346"/>
            <wp:effectExtent l="171450" t="133350" r="361950" b="299304"/>
            <wp:docPr id="11" name="Рисунок 8" descr="gr_061112-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_061112-t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615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65C9" w:rsidRPr="00376B04" w:rsidRDefault="00DA65C9" w:rsidP="005D2C0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/>
          <w:color w:val="000000"/>
          <w:sz w:val="24"/>
          <w:szCs w:val="24"/>
        </w:rPr>
        <w:t>Факторы прогрессирования ХБП</w:t>
      </w:r>
    </w:p>
    <w:p w:rsidR="00DA65C9" w:rsidRPr="00376B04" w:rsidRDefault="00DA65C9" w:rsidP="005D2C0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376B0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210300" cy="3481070"/>
            <wp:effectExtent l="19050" t="0" r="0" b="0"/>
            <wp:docPr id="12" name="Рисунок 11" descr="slid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2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01" w:rsidRPr="00376B04" w:rsidRDefault="00DA65C9" w:rsidP="00DA65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Всем лицам с наличием хотя бы одного из факторов риска ХБП следует проводить регулярные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обследования с определением 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рСКФ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уровня альбуминурии/протеинурии не реже 1 раза в год.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Проблема скрининга хронической болезни почек, учитывая ее высокую распространенность 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трудности ранней диагностики, очень серьезна. Решение данной задачи возможно только при тесном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сотрудничестве нефрологов и врачей общей практики, кардиологов,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эндокринологов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диабетологов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урологов, других специалистов. Объем и частота исследований, подходы к скринингу ХБП у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представителей тех или иных групп риска должны включаться в соответствующие Национальные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Рекомендации, как это сделано в отношении скрининга диабетической нефропатии.</w:t>
      </w:r>
    </w:p>
    <w:p w:rsidR="00DA65C9" w:rsidRPr="00376B04" w:rsidRDefault="00DA65C9" w:rsidP="00DA65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Больным с впервые выявленными снижением СКФ &lt;60 мл/мин/1,73 м</w:t>
      </w:r>
      <w:proofErr w:type="gramStart"/>
      <w:r w:rsidRPr="00376B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proofErr w:type="gramEnd"/>
      <w:r w:rsidRPr="00376B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Pr="00376B04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альбуминурией/протеинурией А3</w:t>
      </w:r>
      <w:r w:rsidRPr="00376B04">
        <w:rPr>
          <w:rFonts w:ascii="Cambria Math" w:hAnsi="Cambria Math" w:cs="Times New Roman"/>
          <w:b/>
          <w:bCs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А4, неконтролируемой артериальной гипертензией показана</w:t>
      </w:r>
      <w:r w:rsidRPr="00376B04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первичная консультация нефролога.</w:t>
      </w:r>
      <w:r w:rsidRPr="00376B04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Пациенты с выявленной ХБП должны подвергаться регулярному медицинскому наблюдению с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участием нефролога; частота наблюдения определяется тяжестью ХБП (стадией и индексом); больные</w:t>
      </w:r>
      <w:r w:rsidRPr="00376B04">
        <w:rPr>
          <w:rFonts w:ascii="Times New Roman" w:hAnsi="Times New Roman" w:cs="Times New Roman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 С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4</w:t>
      </w:r>
      <w:proofErr w:type="gramEnd"/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С5 стадиями ХБП должны находиться под наблюдением в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диализном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центре по месту жительства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для подготовки к заместительной терапии и ее планового начала.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   Несмотря на то, что большую часть случаев ХБП в популяции представляют вторичные 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нефропатии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(при сахарном диабете, артериальной гипертонии, атеросклерозе, системных заболеваниях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соединительной ткани и др.), данные пациенты нуждаются в совместном ведении соответствующим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специалистом (эндокринологом, кардиологом, ревматологом и т.д.) и нефрологом. К ведению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пациентов с урологическими заболеваниями также должен привлекаться нефролог, если имеются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даже начальные признаки ухудшения функции.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Основные показания к амбулаторной консультации нефролога.</w:t>
      </w:r>
      <w:r w:rsidRPr="00376B04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Впервые 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выявленные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 подтвержденные при повторном исследовании: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Протеинурия.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Альбуминурия &gt;30 мг/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(мг/г).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Гематурия.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Снижение СКФ до уровня менее 60 мл/мин/1,73 м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Повышение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или мочевины крови.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Артериальная гипертония, впервые выявленная в возрасте моложе 40 лет или старше 60 лет.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Резистентная к лечению артериальная гипертония.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Нарушение концентрационной функции почек,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канальцевые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нарушения (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никтурия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полиурия,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стойкая депрессия удельного веса мочи,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глюкозурия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при нормальном уровне сахара в крови).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Признаки синдрома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Фанкони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, других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тубулопатий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резистентного рахита у ребенка, особенно в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сочетании с нарушением физического развития.</w:t>
      </w:r>
    </w:p>
    <w:p w:rsidR="00DA65C9" w:rsidRPr="00376B04" w:rsidRDefault="00DA65C9" w:rsidP="00DA65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376B04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Основные показания к специализированному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  <w:u w:val="single"/>
        </w:rPr>
        <w:t>нефрологическому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стационарному обследованию.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Олигурия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(диурез менее 500 мл/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), анурия.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Быстропрогрессирующее снижение функции почек (удвоение уровня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крови менее чем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за 2 месяца).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Впервые выявленное снижение СКФ до уровня ниже 30 мл/мин или уровень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крови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&gt;250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мкмоль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/л для мужчин и &gt;200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мкмоль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/л для женщин.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Нефротический синдром (протеинурия более 3 г/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гипоальбуминемия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Впервые выявленный выраженный мочевой синдром (протеинурия более 1 г/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DA65C9" w:rsidRPr="00376B04" w:rsidRDefault="00DA65C9" w:rsidP="00DA65C9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76B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Профилактика и основные подходы к лечению хронической </w:t>
      </w:r>
      <w:r w:rsidRPr="00376B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  <w:t>болезни почек</w:t>
      </w:r>
    </w:p>
    <w:p w:rsidR="00DA65C9" w:rsidRPr="00376B04" w:rsidRDefault="00DA65C9" w:rsidP="00DA65C9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Основой первичной профилактики ХБП является устранение или минимизация факторов риска ее развития в соответствии с принципами доказательной медицины.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Подходы к первичной профилактике ХБП неотделимы от мероприятий по ее скринингу и выявлению факторов риска (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см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. табл. 9). Основой первичной профилактики ХБП являются диспансерное наблюдение представителей групп риска, разработка индивидуальных медицинских рекомендаций по контролю модифицируемых факторов риска и 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их выполнением.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     Наличие ХБП следует считать важным независимым фактором риска развития и прогрессирования сердечнососудистых заболеваний. Пациенты с отсутствием традиционных факторов сердечно</w:t>
      </w:r>
      <w:r w:rsidRPr="00376B04">
        <w:rPr>
          <w:rFonts w:ascii="Cambria Math" w:hAnsi="Cambria Math" w:cs="Times New Roman"/>
          <w:bCs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сосудистого риска, но страдающие ХБП стадий С</w:t>
      </w:r>
      <w:proofErr w:type="gram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1</w:t>
      </w:r>
      <w:proofErr w:type="gramEnd"/>
      <w:r w:rsidRPr="00376B04">
        <w:rPr>
          <w:rFonts w:ascii="Cambria Math" w:hAnsi="Cambria Math" w:cs="Times New Roman"/>
          <w:bCs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С2 и альбуминурией А1 относятся к группе среднего риска; пациенты с ХБП стадий С1</w:t>
      </w:r>
      <w:r w:rsidRPr="00376B04">
        <w:rPr>
          <w:rFonts w:ascii="Cambria Math" w:hAnsi="Cambria Math" w:cs="Times New Roman"/>
          <w:bCs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С2 и альбуминурией А2</w:t>
      </w:r>
      <w:r w:rsidRPr="00376B04">
        <w:rPr>
          <w:rFonts w:ascii="Cambria Math" w:hAnsi="Cambria Math" w:cs="Times New Roman"/>
          <w:bCs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А3 или ХБП стадии С3а, независимо от уровня альбуминурии/протеинурии, относятся к группе высокого риска; пациенты с ХБП стадий С3б – С5 независимо от уровня альбуминурии/протеинурии и традиционных факторов риска принадлежат к группе очень высокого риска.</w:t>
      </w:r>
    </w:p>
    <w:p w:rsidR="00DA65C9" w:rsidRPr="00376B04" w:rsidRDefault="00DA65C9" w:rsidP="00DA65C9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Вторичная профилактика ХБП должна быть одновременно направлена на замедление темпов прогрессирования ХБП (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ренопротекция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и предупреждение развития 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сердечно</w:t>
      </w:r>
      <w:r w:rsidRPr="00376B04">
        <w:rPr>
          <w:rFonts w:ascii="Cambria Math" w:hAnsi="Cambria Math" w:cs="Times New Roman"/>
          <w:bCs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сосудистой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патологии (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кардиопротекция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).</w:t>
      </w:r>
    </w:p>
    <w:p w:rsidR="00DA65C9" w:rsidRPr="00376B04" w:rsidRDefault="00DA65C9" w:rsidP="00DA65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Рено</w:t>
      </w:r>
      <w:proofErr w:type="spellEnd"/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кардиопротекция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представляет собой двуединую задачу, требующую комплексного подхода, поскольку прогрессирующее снижение функции почек и развитие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сердечно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сосудистых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осложнений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тесно взаимосвязаны, и каждый из этих факторов имеет решающее значение для общего прогноза.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Сердечно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сосудистые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осложнения являются основной причиной гибели пациентов с ХБП, в то же время почечная дисфункция и альбуминурия – важнейшие факторы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сердечно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сосудистого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риска. 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Общность причин (артериальная гипертония, нарушения углеводного, жирового, пуринового, 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фосфорно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кальциевого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обмена и др.) и механизмов прогрессирования (например,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гиперактивацияренин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ангиотензин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альдостероновой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системы, экспрессия медиаторов воспаления и факторов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фиброгенеза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) поражения почек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сердечно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сосудистой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системы дает основание особо выделять методы профилактики, нелекарственного и лекарственного лечения с двойным положительным эффектом: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рено</w:t>
      </w:r>
      <w:proofErr w:type="spellEnd"/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кардиопротективным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что имеет большое значение для пациентов с ХБП.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К ним относятся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низкосолевая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диета, борьба с ожирением и курением, коррекция нарушений углеводного обмена, лечение препаратами, подавляющими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ренин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ангиотензин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альдостероновую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систему (ингибиторы АПФ,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блокаторы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ангиотензиновых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рецепторов, ингибиторы ренина),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статинами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, некоторыми антагонистами кальция и препаратами, улучшающими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микроциркуляцию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. Эффективность новых методов лечения пациентов с ХБП следует оценивать, в первую очередь, по их влиянию на комбинированный исход, включающий развитие ТПН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сердечно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сосудистых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осложнений. </w:t>
      </w:r>
    </w:p>
    <w:p w:rsidR="00DA65C9" w:rsidRPr="00376B04" w:rsidRDefault="00DA65C9" w:rsidP="00DA65C9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Объем и направленность 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лечебно</w:t>
      </w:r>
      <w:r w:rsidRPr="00376B04">
        <w:rPr>
          <w:rFonts w:ascii="Cambria Math" w:hAnsi="Cambria Math" w:cs="Times New Roman"/>
          <w:bCs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диагностических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мероприятий у больных с ХБП определяется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выраженностью снижения функции почек (стадией ХБП). </w:t>
      </w:r>
    </w:p>
    <w:p w:rsidR="00DA65C9" w:rsidRPr="00376B04" w:rsidRDefault="00DA65C9" w:rsidP="00DA65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 Важным направлением профилактики и лечения ХБП является коррекция образа жизни и характера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питания с целью наиболее полного воздействия на модифицируемые (изменяемые) факторы риска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развития и прогрессирования ХБП. Результаты ряда исследований свидетельствуют о том, что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значения индекса массы тела (ИМТ) &gt;25 кг/м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у молодых людей, даже при отсутствии у них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специфической почечной патологии, артериальной гипертензии и сахарного диабета, 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lastRenderedPageBreak/>
        <w:t>ассоциируются с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нарастанием риска развития ТПН. Показано, что гемодинамические изменения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в почках (нарастание СКФ и фильтрационной фракции) отмечаются у молодых здоровых людей с ИМТ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25 кг/м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при высоком потреблении соли. Поэтому пациентам с ХБП 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и(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>или)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лицам с факторами риска ХБП, имеющим избыточную массу тела, должны быть даны рекомендации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по коррекции массы тела (поддержание индекса массы тела в пределах 20–25 кг/м2 за счет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коррекции калорийности рациона и достаточной физической активности – при отсутствии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противопоказаний 30 мин аэробных нагрузок, например, быстрая ходьба, не менее 4–5 дней в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неделю) и ограничению поваренной соли в пище. Не менее значимыми в профилактике ХБП является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ограничение потребления алкоголя.</w:t>
      </w:r>
    </w:p>
    <w:p w:rsidR="00DA65C9" w:rsidRPr="00376B04" w:rsidRDefault="00DA65C9" w:rsidP="00DA65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  Хорошо известно, что высокий уровень поступления хлорида натрия с пищей четко ассоциирован с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развитием и прогрессированием артериальной гипертензии, которая, в свою очередь, служит важной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детерминантой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повреждения почек и сердца. На фоне высокого потребления соли усиливаются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эффекты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ангиотензина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II и альдостерона. Однако повреждающее действие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высокосолевой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диеты на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органы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мишени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не исчерпывается влиянием хлорида натрия на системную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внутрипочечную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гемодинамику, оно может реализовываться механизмами, не связанными напрямую с ростом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артериального давления (АД). В частности, было показано, что при значительном содержании в рационе хлорида натрия в эндотелии почек и аорты возрастает экспрессия важного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профиброгенного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цитокина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– трансформирующего фактора роста.</w:t>
      </w:r>
    </w:p>
    <w:p w:rsidR="006D0833" w:rsidRPr="00376B04" w:rsidRDefault="006D0833" w:rsidP="00DA65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>Имеющиеся в настоящее время данные дают основания рекомендовать пациентам с ХБП и лицам,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относящимся к группе риска по ХБП, суточное потребление натрия &lt;2,4 г (что соответствует &lt;6,0 г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поваренной соли).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В настоящее время одним из важных факторов инициации и прогрессирования ХБП становится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лекарственная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нефротоксичность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.  К потенциально опасным для почек препаратам относятся многочисленные обезболивающие и противовоспалительные средства, широко применяемые в неврологии, ревматологии, хирургии,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рентгеноконтрастные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вещества, ряд антибиотиков, мочегонные. Многие из этих препаратов свободно доступны в аптеках, рекламируются в средствах массовой информации, поэтому принимаются бесконтрольно. У больных с нарушенной функцией почек резко повышается риск нежелательных явлений лечения и непредсказуемых лекарственных взаимодействий. Особенно значимы в данном плане последствия непрерывного нарастания числа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рентгеноконтрастных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процедур. Имеющиеся данные однозначно свидетельствуют о том, что даже кратковременное транзиторное ухудшение функции почек после введения рентгеновского контраста ассоциируется с 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ухудшением почечного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сердечно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сосудистых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прогнозов и нарастанием уровня общей смертности.</w:t>
      </w:r>
    </w:p>
    <w:p w:rsidR="006D0833" w:rsidRPr="00376B04" w:rsidRDefault="006D0833" w:rsidP="00DA65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В этой связи важное значение в профилактике развития и прогрессирования ХБП приобретает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комплекс мер по предупреждению лекарственной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нефротоксичности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– широкое информирование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пациентов о вреде самолечения, отказ от бесконтрольного приема анальгетиков, антибиотиков,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пищевых добавок и др., тщательный выбор врачом лекарственных препаратов, назначаемых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пациентам с ХБП и в группах ее риска, мониторинг показателей функции почек при необходимости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проведения у данной категории лиц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рентгеноконтрастных</w:t>
      </w:r>
      <w:proofErr w:type="spellEnd"/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исследований и т.д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6D0833" w:rsidRPr="00376B04" w:rsidRDefault="006D0833" w:rsidP="00DA65C9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</w:t>
      </w:r>
      <w:proofErr w:type="gram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Целевыми уровнями АД у пациентов с ХБП и артериальной гипертензией следует считать: у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больных с оптимальной степенью альбуминурии (менее 10 мг/г) – систолическое АД менее 140 и 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диастолическое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менее 90 мм 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рт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ст.; при более высокой степени альбуминурии или наличии протеинурии – систолическое АД менее 130 и 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диастолическое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менее 80 мм 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рт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. ст.: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антигипертензивная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терапия должна быть индивидуализирована, а снижения систолического</w:t>
      </w:r>
      <w:proofErr w:type="gram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АД менее 120 мм 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рт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. ст. следует избегать.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      У пациентов с ХБП и артериальной гипертензией, нуждающихся в фармакологической коррекции, для достижения целевых уровней артериального давления, в качестве препаратов первой линии или основного компонента комбинированного лечения следует назначать ингибиторы 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ангиотензин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I</w:t>
      </w:r>
      <w:r w:rsidRPr="00376B04">
        <w:rPr>
          <w:rFonts w:ascii="Cambria Math" w:hAnsi="Cambria Math" w:cs="Times New Roman"/>
          <w:bCs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превращающего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фермента (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иАПФ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или 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блокаторы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АТ</w:t>
      </w:r>
      <w:proofErr w:type="gram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1</w:t>
      </w:r>
      <w:proofErr w:type="gramEnd"/>
      <w:r w:rsidRPr="00376B04">
        <w:rPr>
          <w:rFonts w:ascii="Cambria Math" w:hAnsi="Cambria Math" w:cs="Times New Roman"/>
          <w:bCs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рецепторов 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ангиотензина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II (БРА), если их применение не противопоказано. Пациентам с ХБП 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c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индексами альбуминурии/протеинурии А</w:t>
      </w:r>
      <w:proofErr w:type="gram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2</w:t>
      </w:r>
      <w:proofErr w:type="gramEnd"/>
      <w:r w:rsidRPr="00376B04">
        <w:rPr>
          <w:rFonts w:ascii="Cambria Math" w:hAnsi="Cambria Math" w:cs="Times New Roman"/>
          <w:bCs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А3 и отсутствием артериальной гипертензии также следует назначать 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иАПФ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или БРА с целью </w:t>
      </w:r>
      <w:proofErr w:type="spellStart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достиженияантипротеинурического</w:t>
      </w:r>
      <w:proofErr w:type="spellEnd"/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эффекта.</w:t>
      </w:r>
    </w:p>
    <w:p w:rsidR="00DA65C9" w:rsidRPr="00376B04" w:rsidRDefault="006D0833" w:rsidP="00DA65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 Повышение АД и ХБП тесно 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взаимосвязаны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по принципу «порочного круга». Артериальная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гипертензия, как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эссенциальная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так и вторичная почечная, обладает доказанным в ходе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проспективных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исследований неблагоприятным влиянием не только на риск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сердечно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сосудистых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осложнений, но и на скорость прогрессирования ХБП. В то же время, эффективная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антигипертензивная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терапия достоверно отдаляет время наступления ТПН, является важным средством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кардиопротекции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D0833" w:rsidRPr="00376B04" w:rsidRDefault="006D0833" w:rsidP="00DA65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  На сегодняшний день имеются веские аргументы [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Jafar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TH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соавт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., 2003], свидетельствующие 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неблагоприятном влиянии низкого уровня АД (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систолическое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АД ниже 110 мм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 ст.) на скорость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прогрессирования ХБП. Авторы связывают полученные результаты с острым и хроническим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ишемическим повреждением почек в условиях гипотонии. Для риска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сердечно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сосудистых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осложнений при ХБП тоже была показана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образная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зависимость от уровня АД – он повышался как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 систолическом АД выше 130, так и ниже 120 мм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 ст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>Строгий контроль АД может быть опасен у пожилых пациентов, при распространенном атеросклерозе.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Контроль АД в пределах узкого коридора (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систолическое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АД 120–129 мм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 ст.) представляет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значительные трудности. Для исключения эпизодов гипотонии рекомендуется обязательный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мониторинг уровня АД методом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самоизмерений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(с обучением пациента и периодическим врачебным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контролем) и, по возможности, использование суточного автоматического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мониторирования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АД. У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больных пожилого и старческого возраста со склонностью к развитию эпизодов гипотонии,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приводящих к ухудшению самочувствия и появлению жалоб, характерных для нарушения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коронарного и церебрального кровотока, коррекцию артериальной гипертонии следует проводить с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повышенной осторожностью. У этих больных приемлемым уровнем систолического АД следует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считать 140–160 мм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 ст.</w:t>
      </w:r>
    </w:p>
    <w:p w:rsidR="006D0833" w:rsidRPr="00376B04" w:rsidRDefault="006D0833" w:rsidP="00DA65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    При протеинурии более 1 г/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, не снижающейся при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монотерапии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иАПФ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или БРА, оправдано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комбинированное лечение несколькими препаратами, подавляющими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ренин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ангиотензин</w:t>
      </w:r>
      <w:proofErr w:type="spellEnd"/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альдостероновую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систему, под строгим контролем СКФ и уровня калия крови. Для достижения целевого АД при ХБП большое значение имеют нелекарственные методы лечения, включающие ограничение потребления соли, поддержание индекса массы тела в пределах 20–25 кг/м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достаточную физическую активность, отказ от курения, ограничение потребления алкоголя.</w:t>
      </w:r>
    </w:p>
    <w:p w:rsidR="006D0833" w:rsidRPr="00376B04" w:rsidRDefault="006D0833" w:rsidP="00DA65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    Среди препаратов, снижающих АД, при альбуминурии выше 30 мг/</w:t>
      </w:r>
      <w:proofErr w:type="spellStart"/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протеинурии средствами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первого выбора являются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иАПФ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или БРА. Преимущества данных препаратов, в первую очередь,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определяются их способностью уменьшать альбуминурию/протеинурию. По данным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проспективных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контролируемых исследований (REIN, RENAAL, IDNT и др.) у больных с 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диабетической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недиабетическими нефропатиями они достоверно снижают риск развития ТПН. У больных с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альбуминурией выше 30 мг/</w:t>
      </w:r>
      <w:proofErr w:type="spellStart"/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протеинурией они могут применяться с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антипротеинурической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целью даже при нормальном уровне АД.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Антипротеинурические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ренопротективные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свойства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иАПФ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 БРА проявляются на разных стадиях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ХБП, однако по мере снижения функции повышается риск их побочных действий –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гиперкалиемии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снижения СКФ. Резкое падение СКФ при назначении данных средств нередко развивается у пожилых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пациентов на фоне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гиповолемии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 может быть первым признаком скрытого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гемодинамически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значимого билатерального стеноза почечной артерии, который является противопоказанием 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для их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дальнейшего применения. Для выявления возможного стеноза почечной артерии у больных с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падением СКФ от исходного уровня более чем на 30% после назначения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иАПФ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или других средств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используют методы лучевой диагностики – ультразвуковую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допплерографию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МРТ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томографию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 др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6D0833" w:rsidRPr="00376B04" w:rsidRDefault="006D0833" w:rsidP="00DA65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У пациентов с ХБП необходима ранняя коррекция метаболических и гомеостатических нарушений,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связанных с ренальной дисфункцией.</w:t>
      </w:r>
      <w:r w:rsidRPr="00376B04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6D0833" w:rsidRPr="00376B04" w:rsidRDefault="006D0833" w:rsidP="00DA65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Дислипопротеидемия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, ожирение и метаболический синдром.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Гиперлипидемия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ухудшает прогноз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любого почечного заболевания, а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гиполипидемическая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терапия способствует сохранению функции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почек. Однако лишь в последнее время внимание исследователей было обращено на изучение связи между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дислипопротеидемией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 функциональным состоянием почек у лиц без первичной патологии этого органа. В эпидемиологических исследованиях было установлено, что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гиперхолестеринемия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гипертриглицеридемия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и низкие значения холестерина липопротеидов высокой плотности  являются независимыми предикторами снижения функции почек в общей популяции условно здоровых людей.</w:t>
      </w:r>
    </w:p>
    <w:p w:rsidR="006D0833" w:rsidRPr="00376B04" w:rsidRDefault="006D0833" w:rsidP="00DA65C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   Избыточная масса тела и ожирение ассоциированы со многими гемодинамическими и структурными изменениями почек, которым 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предшествуют ряд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метаболических расстройств. У людей с данными нарушениями более высокий, чем в общей популяции, риск развития ХБП и терминальной почечной недостаточности. У пациентов с избыточной массой тела и ожирением чаще выявляется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микроальбуминурия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, и у данной категории лиц при уже имеющемся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каком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либо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заболевании почек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темпы роста альбуминурии и прогрессирования почечной дисфункции опережают таковые в группе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пациентов без ожирения. Диабетическая нефропатия, гипертонический нефросклероз, фокальный 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сегментарный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гломерулосклероз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, рак почек,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уратный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оксалатный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нефролитиаз – наиболее часто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встречающиеся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нефрологические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 урологические заболевания в популяции людей с ожирением.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Появились данные, указывающие на возможность обратного развития ассоциированных с ожирением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патологических, в том числе почечных, изменений, что достигается в результате коррекции ожирения путем уменьшения калорийности питания, хирургических вмешательств, приема снижающих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гастроинтестинальную абсорбцию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энергосодержащих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веществ.</w:t>
      </w:r>
    </w:p>
    <w:p w:rsidR="006D0833" w:rsidRPr="00376B04" w:rsidRDefault="006D0833" w:rsidP="006D08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Анемия.</w:t>
      </w:r>
      <w:r w:rsidRPr="00376B04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   Анемия, как предиктор развития гипертрофии левого желудочка  и ИБС, ассоциируется с 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ухудшением качества жизни, ростом кардиоваскулярных осложнений и увеличением частоты госпитализаций у пациентов с ХБП. Развивающаяся вследствие недостаточной продукции эндогенного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эритропоэтина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 ухудшения снабжения костного мозга железом анемия способствует повышению нагрузки на сердце за счет тахикардии и увеличения ударного объема, что, в свою очередь, вызывает почечную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вазоконстрикцию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 задержку жидкости. В конечном итоге, формируется замкнутый порочный патогенетический круг, описанный как «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кардиоренальный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анемический синдром», в котором ЗСН, ХБП и анемия взаимно усугубляют друг друга.</w:t>
      </w:r>
      <w:r w:rsidR="00253020"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53020" w:rsidRPr="00376B04" w:rsidRDefault="00253020" w:rsidP="006D08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Коррекция анемии при ХБП С5д стадии на основе применения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эритропоэзстимулирующих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агентов 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препаратов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жедеза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в настоящее время является одним из основных принципов ведения таких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больных. Более сложно оценить подходы к коррекции анемии на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додиализных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стадиях ХБП. Можно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было ожидать, что раннее лечение анемии должно замедлять прогрессирование как почечных, так 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кардиоваскулярных повреждений. При этом следует иметь в виду, что с учетом так называемых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«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плеотропных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» эффектов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эритропоэтина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можно рассчитывать на его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рено</w:t>
      </w:r>
      <w:proofErr w:type="spellEnd"/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кардиопротекторные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эффекты, независимо от влияния данного гормона на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эритропоэз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 Однако результаты масштабных разработок (CHOIR, CREATE, TREAT и ряда других) привели к неоднозначным заключениям. В любом случае коррекция анемии требует осторожности, поскольку даже сравнительно невысокие уровни гемоглобина (более 120 г/л), которые могут быть достигнуты в процессе такого лечения, сопровождаются ухудшением почечного и кардиоваскулярного прогноза. Основные положения ряда имеющихся рекомендаций по данному вопросу суммированы в работе. В настоящее время идет доработка международных рекомендаций по лечению анемии у больных с ХБП.</w:t>
      </w:r>
    </w:p>
    <w:p w:rsidR="00253020" w:rsidRPr="00376B04" w:rsidRDefault="00253020" w:rsidP="006D08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Лечебное питание.</w:t>
      </w:r>
      <w:r w:rsidRPr="00376B04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 Хорошо известно, что высокое потребление белка (в первую очередь животного) ассоциируется со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своеобразными гемодинамическими сдвигами в почках, которые выражаются в снижении почечного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сосудистого сопротивления, нарастании почечного кровотока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гломерулярной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ультрафильтрации. На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этом фоне уменьшается коэффициент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гломерулярной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ультрафильтрации (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Kf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). Снижение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Kf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в данных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условиях рассматривается в качестве реакции, призванной ограничить неконтролируемый рост СКФ в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отдельном нефроне. Понятно, что в такой ситуации уменьшение величины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Kf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должно приводить к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усугублению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интрагломерулярной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гипертензии. Очевидно, такие изменения могут способствовать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акцелерации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почечных повреждений по гемодинамическому механизму.</w:t>
      </w:r>
    </w:p>
    <w:p w:rsidR="00253020" w:rsidRPr="00376B04" w:rsidRDefault="00253020" w:rsidP="006D08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Однако влияние значительного количества протеинов в рационе на состояние почек не исчерпывается только гемодинамическими эффектами. Например, на фоне повышенного потребления белка наблюдается нарастание конечных продуктов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гликирования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, которые запускают сложный каскад реакций, включающий генерацию активных форм кислорода. Последние, в свою очередь, активируют сигнальные пути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митоген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активируемых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протеинкиназ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протенкиназы</w:t>
      </w:r>
      <w:proofErr w:type="spellEnd"/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 активаторов транскрипции.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Это сопровождается нарастанием экспрессии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провоспалительных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(NF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B, моноцитарного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хемоаттрактантного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протеина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1, фактора некроза опухолей) 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профибротических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(трансформирующего фактора роста, фактора роста соединительной ткани, фактора роста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тромбоцитарного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происхождения) субстанций. В такой ситуации происходит трансформация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канальцевых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клеток в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миофибробласты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, что, в конечном итоге, приводит к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тубулярной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атрофии 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фиброзу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интерстиция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 Свой вклад в формирование почечных повреждений в условиях высокого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потребления белка вносит усугубление ацидоза и активация эндотелина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1.</w:t>
      </w:r>
    </w:p>
    <w:p w:rsidR="00253020" w:rsidRPr="00376B04" w:rsidRDefault="00253020" w:rsidP="006D08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proofErr w:type="spellStart"/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видимому</w:t>
      </w:r>
      <w:proofErr w:type="spellEnd"/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такие взаимосвязи определяются не только количеством, но и качеством пищевого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протеина. Есть основания считать, что растительные белки оказывают меньшую нагрузку на почки,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чем животные. При этом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протеины сои (даже при высоком потреблении белка) оказывают,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возможно, не только меньшее негативное влияние на почечную гемодинамику, но и обладают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кардиопротективным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нефропротективным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и антисклеротическим действием. В практике лечения больных на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додиализных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стадиях ХБП используется довольно много вариантов диетических предписаний, связанных с ограничением поступления белка, хотя результаты применения малобелковых диет (0,6–0,8–1,0 г белка/кг массы тела/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) в плане замедления прогрессирования ХБП оказались неоднозначными. Тем не менее, последние накопленные данные позволяют полагать, что ограничение белка в рационе действительно приводит к умеренному позитивному эффекту в плане почечного прогноза при ХБП.</w:t>
      </w:r>
    </w:p>
    <w:p w:rsidR="00253020" w:rsidRPr="00376B04" w:rsidRDefault="00253020" w:rsidP="0025302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Содержание </w:t>
      </w:r>
      <w:proofErr w:type="spellStart"/>
      <w:r w:rsidRPr="00376B04">
        <w:rPr>
          <w:rFonts w:ascii="Times New Roman" w:hAnsi="Times New Roman" w:cs="Times New Roman"/>
          <w:b/>
          <w:color w:val="000000"/>
          <w:sz w:val="24"/>
          <w:szCs w:val="24"/>
        </w:rPr>
        <w:t>макронутриентов</w:t>
      </w:r>
      <w:proofErr w:type="spellEnd"/>
      <w:r w:rsidRPr="00376B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 минералов в диете для пациентов с гипертензией,</w:t>
      </w:r>
      <w:r w:rsidRPr="00376B04">
        <w:rPr>
          <w:rFonts w:ascii="Times New Roman" w:hAnsi="Times New Roman" w:cs="Times New Roman"/>
          <w:b/>
          <w:color w:val="000000"/>
          <w:sz w:val="24"/>
          <w:szCs w:val="24"/>
        </w:rPr>
        <w:br/>
        <w:t>согласно рекомендациям JNC 7 и модифицированное для ХБП</w:t>
      </w:r>
    </w:p>
    <w:p w:rsidR="00253020" w:rsidRPr="00376B04" w:rsidRDefault="00253020" w:rsidP="00253020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76B0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323154" cy="2743200"/>
            <wp:effectExtent l="19050" t="0" r="1446" b="0"/>
            <wp:docPr id="13" name="Рисунок 12" descr="gr_061112-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_061112-t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370" cy="27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20" w:rsidRPr="00376B04" w:rsidRDefault="00253020" w:rsidP="00253020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                                              Нарушения минерального обмена. </w:t>
      </w:r>
    </w:p>
    <w:p w:rsidR="00253020" w:rsidRPr="00376B04" w:rsidRDefault="00253020" w:rsidP="0025302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 Нарушения гомеостаза кальция и фосфора и проявления вторичного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гиперпаратиреоза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прогрессируют по мере снижения СКФ. При этом критическим значением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рСКФ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при котором начинает наблюдаться подавление активности 1a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гидроксилазы в почках, повышение сывороточной концентрации неорганического фосфора, уменьшение концентрации кальция в сыворотке крови и нарастание уровня ПТГ считается 60 мл/мин/1,73 м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. Эти изменения не только вызывают развитие остеодистрофии, но и способствуют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кальцификации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сосудов и мягких тканей и увеличивают уровень кардиоваскулярной заболеваемости и смертности на более поздних стадиях ХБП.</w:t>
      </w:r>
    </w:p>
    <w:p w:rsidR="00253020" w:rsidRPr="00376B04" w:rsidRDefault="00253020" w:rsidP="0025302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 За последние два десятилетия существенно расширены представления о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кальций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фосфорном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гомеостазе</w:t>
      </w:r>
      <w:proofErr w:type="gram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его нарушениях при ХБП и подходах к коррекции этих расстройств [Добронравов ВА,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2011]. К наиболее крупным достижениям в физиологии и патофизиологии гомеостаза кальция 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фосфора следует отнести открытие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фосфатурических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гормонов (прежде всего, фактора роста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фибробластов 23) и расшифровку механизмов его действия на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клеточно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молекулярном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уровне с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участием вспомогательного белка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klotho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. Пересмотрены представления о роли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внепочечной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экспрессии 1a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гидроксилазы и возможном участии этого фактора в развитии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внекостной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(в том числе,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сосудистой)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кальцификации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. Наконец, появилась и начала внедряться целая серия принципиально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новых классов фармакологических препаратов, воздействующих на разные стороны гомеостаза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кальция и фосфора или минеральный обмен в костной ткани: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бифосфонаты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кальцимиметики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активаторы рецепторов витамина D,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севеламер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>, лантана карбонат и др</w:t>
      </w:r>
      <w:proofErr w:type="gram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253020" w:rsidRPr="00376B04" w:rsidRDefault="00253020" w:rsidP="0025302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b/>
          <w:color w:val="000000"/>
          <w:sz w:val="24"/>
          <w:szCs w:val="24"/>
        </w:rPr>
        <w:t>Заключение</w:t>
      </w:r>
    </w:p>
    <w:p w:rsidR="00253020" w:rsidRPr="00376B04" w:rsidRDefault="00253020" w:rsidP="0025302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    За 10 лет, прошедшие с момента создания концепции ХБП, во всем мире накоплен огромный объем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данных, показывающих высокую распространенность заболеваний почек и большой социально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экономический ущерб, связанный с развитием терминальной почечной недостаточности. Не вызывает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сомнения, что важная задача предупреждения дальнейшего прироста больных с почечной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недостаточностью, снижения расходов на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высокозатратную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заместительную почечную терапию и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уменьшения </w:t>
      </w:r>
      <w:proofErr w:type="spellStart"/>
      <w:r w:rsidRPr="00376B04">
        <w:rPr>
          <w:rFonts w:ascii="Times New Roman" w:hAnsi="Times New Roman" w:cs="Times New Roman"/>
          <w:color w:val="000000"/>
          <w:sz w:val="24"/>
          <w:szCs w:val="24"/>
        </w:rPr>
        <w:t>сердечно</w:t>
      </w:r>
      <w:r w:rsidRPr="00376B04">
        <w:rPr>
          <w:rFonts w:ascii="Calibri" w:hAnsi="Calibri" w:cs="Times New Roman"/>
          <w:color w:val="000000"/>
          <w:sz w:val="24"/>
          <w:szCs w:val="24"/>
        </w:rPr>
        <w:t>‐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t>сосудистого</w:t>
      </w:r>
      <w:proofErr w:type="spellEnd"/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 риска в популяции, обусловленного почечной дисфункцией,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выходит за рамки одной медицинской специальности. Концепция ХБП создает универсальную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платформу для широкого и эффективного взаимодействия всего медицинского сообщества с целью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профилактики, раннего выявления и торможения прогрессирования хронических заболеваний 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почек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разной этиологии, без чего сегодня невозможна реализация масштабных задач отечественного</w:t>
      </w:r>
      <w:r w:rsidRPr="00376B04">
        <w:rPr>
          <w:rFonts w:ascii="Times New Roman" w:hAnsi="Times New Roman" w:cs="Times New Roman"/>
          <w:color w:val="000000"/>
          <w:sz w:val="24"/>
          <w:szCs w:val="24"/>
        </w:rPr>
        <w:br/>
        <w:t>здравоохранения по сбережению работоспособного населения и оздоровлению нации.</w:t>
      </w:r>
    </w:p>
    <w:p w:rsidR="00253020" w:rsidRPr="00376B04" w:rsidRDefault="00253020" w:rsidP="0025302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53020" w:rsidRPr="00376B04" w:rsidRDefault="00253020" w:rsidP="0025302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53020" w:rsidRPr="00376B04" w:rsidRDefault="00253020" w:rsidP="0025302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53020" w:rsidRPr="00376B04" w:rsidRDefault="00253020" w:rsidP="0025302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53020" w:rsidRPr="00376B04" w:rsidRDefault="00253020" w:rsidP="0025302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53020" w:rsidRPr="00376B04" w:rsidRDefault="00253020" w:rsidP="0025302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53020" w:rsidRPr="00376B04" w:rsidRDefault="00253020" w:rsidP="0025302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53020" w:rsidRPr="00376B04" w:rsidRDefault="00253020" w:rsidP="0025302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53020" w:rsidRPr="00376B04" w:rsidRDefault="00253020" w:rsidP="0025302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53020" w:rsidRPr="00376B04" w:rsidRDefault="00253020" w:rsidP="0025302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53020" w:rsidRPr="00376B04" w:rsidRDefault="00253020" w:rsidP="0025302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53020" w:rsidRPr="00376B04" w:rsidRDefault="00253020" w:rsidP="00253020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>Список литературы:</w:t>
      </w:r>
    </w:p>
    <w:p w:rsidR="00253020" w:rsidRPr="00376B04" w:rsidRDefault="00253020" w:rsidP="00253020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376B04">
        <w:rPr>
          <w:rFonts w:ascii="Times New Roman" w:hAnsi="Times New Roman" w:cs="Times New Roman"/>
          <w:color w:val="000000"/>
          <w:sz w:val="24"/>
          <w:szCs w:val="24"/>
        </w:rPr>
        <w:t xml:space="preserve">Национальные рекомендации. 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t>Хроническая болезнь почек: основные</w:t>
      </w:r>
      <w:r w:rsidRPr="00376B04">
        <w:rPr>
          <w:rFonts w:ascii="Times New Roman" w:hAnsi="Times New Roman" w:cs="Times New Roman"/>
          <w:bCs/>
          <w:color w:val="000000"/>
          <w:sz w:val="24"/>
          <w:szCs w:val="24"/>
        </w:rPr>
        <w:br/>
        <w:t>принципы скрининга, диагностики, профилактики и подходы к лечению.</w:t>
      </w:r>
    </w:p>
    <w:p w:rsidR="00253020" w:rsidRPr="00376B04" w:rsidRDefault="00376B04" w:rsidP="00253020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4"/>
          <w:szCs w:val="24"/>
        </w:rPr>
      </w:pPr>
      <w:hyperlink r:id="rId16" w:history="1">
        <w:r w:rsidRPr="00376B04">
          <w:rPr>
            <w:rStyle w:val="a8"/>
            <w:rFonts w:ascii="Times New Roman" w:hAnsi="Times New Roman" w:cs="Times New Roman"/>
            <w:sz w:val="24"/>
            <w:szCs w:val="24"/>
          </w:rPr>
          <w:t>https://diseases.medelement.com/disease</w:t>
        </w:r>
      </w:hyperlink>
      <w:r w:rsidRPr="00376B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76B04" w:rsidRPr="00376B04" w:rsidRDefault="00376B04" w:rsidP="00376B04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253020" w:rsidRPr="00376B04" w:rsidRDefault="00253020" w:rsidP="0025302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253020" w:rsidRPr="00376B04" w:rsidSect="00A2326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A3D25"/>
    <w:multiLevelType w:val="hybridMultilevel"/>
    <w:tmpl w:val="8A820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2D1C13"/>
    <w:multiLevelType w:val="hybridMultilevel"/>
    <w:tmpl w:val="6A26AE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56930"/>
    <w:rsid w:val="00004188"/>
    <w:rsid w:val="000067D8"/>
    <w:rsid w:val="00010344"/>
    <w:rsid w:val="000138A2"/>
    <w:rsid w:val="00015F2F"/>
    <w:rsid w:val="000234E4"/>
    <w:rsid w:val="000242A7"/>
    <w:rsid w:val="00024471"/>
    <w:rsid w:val="000276B7"/>
    <w:rsid w:val="00045C7F"/>
    <w:rsid w:val="00050FC1"/>
    <w:rsid w:val="000515DB"/>
    <w:rsid w:val="000554A6"/>
    <w:rsid w:val="0005772B"/>
    <w:rsid w:val="000672C7"/>
    <w:rsid w:val="00074CDF"/>
    <w:rsid w:val="0007784E"/>
    <w:rsid w:val="0008080C"/>
    <w:rsid w:val="000817E4"/>
    <w:rsid w:val="00085CEE"/>
    <w:rsid w:val="000877D6"/>
    <w:rsid w:val="000924B9"/>
    <w:rsid w:val="000A2BED"/>
    <w:rsid w:val="000A4330"/>
    <w:rsid w:val="000B1E3D"/>
    <w:rsid w:val="000C4304"/>
    <w:rsid w:val="000C4500"/>
    <w:rsid w:val="000D43C3"/>
    <w:rsid w:val="000D5242"/>
    <w:rsid w:val="000D5499"/>
    <w:rsid w:val="000D7193"/>
    <w:rsid w:val="000E2788"/>
    <w:rsid w:val="000E341D"/>
    <w:rsid w:val="000F1C09"/>
    <w:rsid w:val="000F22D4"/>
    <w:rsid w:val="0010171E"/>
    <w:rsid w:val="001030A6"/>
    <w:rsid w:val="0011095A"/>
    <w:rsid w:val="001135CA"/>
    <w:rsid w:val="00113BF7"/>
    <w:rsid w:val="00113CD9"/>
    <w:rsid w:val="00117853"/>
    <w:rsid w:val="00120909"/>
    <w:rsid w:val="00122988"/>
    <w:rsid w:val="001324C7"/>
    <w:rsid w:val="0014129A"/>
    <w:rsid w:val="00143ED6"/>
    <w:rsid w:val="00144416"/>
    <w:rsid w:val="001465F2"/>
    <w:rsid w:val="00146A23"/>
    <w:rsid w:val="001634B4"/>
    <w:rsid w:val="001636AB"/>
    <w:rsid w:val="0016755F"/>
    <w:rsid w:val="00173449"/>
    <w:rsid w:val="001735C3"/>
    <w:rsid w:val="001744FD"/>
    <w:rsid w:val="001803BD"/>
    <w:rsid w:val="00184173"/>
    <w:rsid w:val="001852D1"/>
    <w:rsid w:val="00190729"/>
    <w:rsid w:val="0019131B"/>
    <w:rsid w:val="00191B8B"/>
    <w:rsid w:val="00192DE1"/>
    <w:rsid w:val="00195C6D"/>
    <w:rsid w:val="001B6D24"/>
    <w:rsid w:val="001C0CC5"/>
    <w:rsid w:val="001C4BE5"/>
    <w:rsid w:val="001D062A"/>
    <w:rsid w:val="001D3AF7"/>
    <w:rsid w:val="001D477A"/>
    <w:rsid w:val="001D60CB"/>
    <w:rsid w:val="001D7943"/>
    <w:rsid w:val="001D7DB4"/>
    <w:rsid w:val="001E433B"/>
    <w:rsid w:val="001E44EE"/>
    <w:rsid w:val="001E69B6"/>
    <w:rsid w:val="001F2235"/>
    <w:rsid w:val="001F7F7F"/>
    <w:rsid w:val="00207FF1"/>
    <w:rsid w:val="00211251"/>
    <w:rsid w:val="002217C7"/>
    <w:rsid w:val="00222BB6"/>
    <w:rsid w:val="002242DC"/>
    <w:rsid w:val="00224F98"/>
    <w:rsid w:val="00227B94"/>
    <w:rsid w:val="002318B0"/>
    <w:rsid w:val="0023420C"/>
    <w:rsid w:val="00253020"/>
    <w:rsid w:val="00262A67"/>
    <w:rsid w:val="002726C9"/>
    <w:rsid w:val="00272A88"/>
    <w:rsid w:val="00274A05"/>
    <w:rsid w:val="00276591"/>
    <w:rsid w:val="002803EF"/>
    <w:rsid w:val="00281360"/>
    <w:rsid w:val="00283357"/>
    <w:rsid w:val="00287B5E"/>
    <w:rsid w:val="00293574"/>
    <w:rsid w:val="002A245A"/>
    <w:rsid w:val="002A662A"/>
    <w:rsid w:val="002B0A35"/>
    <w:rsid w:val="002B0C9B"/>
    <w:rsid w:val="002C517F"/>
    <w:rsid w:val="002D4C11"/>
    <w:rsid w:val="002D769E"/>
    <w:rsid w:val="002E07AA"/>
    <w:rsid w:val="002E142B"/>
    <w:rsid w:val="002F05BF"/>
    <w:rsid w:val="002F1CF4"/>
    <w:rsid w:val="002F2CCC"/>
    <w:rsid w:val="00301DC8"/>
    <w:rsid w:val="00304FED"/>
    <w:rsid w:val="003279A8"/>
    <w:rsid w:val="00345578"/>
    <w:rsid w:val="00352F1A"/>
    <w:rsid w:val="003619AD"/>
    <w:rsid w:val="00362630"/>
    <w:rsid w:val="00376B04"/>
    <w:rsid w:val="0038436D"/>
    <w:rsid w:val="003A0995"/>
    <w:rsid w:val="003A5566"/>
    <w:rsid w:val="003A73BB"/>
    <w:rsid w:val="003B200E"/>
    <w:rsid w:val="003B31E1"/>
    <w:rsid w:val="003C11C6"/>
    <w:rsid w:val="003C13C3"/>
    <w:rsid w:val="003C2057"/>
    <w:rsid w:val="003C5759"/>
    <w:rsid w:val="003D0AF8"/>
    <w:rsid w:val="003D2E1C"/>
    <w:rsid w:val="003D3095"/>
    <w:rsid w:val="003D557E"/>
    <w:rsid w:val="003D66C7"/>
    <w:rsid w:val="003E1854"/>
    <w:rsid w:val="003E5F66"/>
    <w:rsid w:val="003F207B"/>
    <w:rsid w:val="003F30D0"/>
    <w:rsid w:val="00403986"/>
    <w:rsid w:val="004049EA"/>
    <w:rsid w:val="00410E50"/>
    <w:rsid w:val="0041101A"/>
    <w:rsid w:val="0041362E"/>
    <w:rsid w:val="00415EB0"/>
    <w:rsid w:val="00424385"/>
    <w:rsid w:val="00434132"/>
    <w:rsid w:val="0043539B"/>
    <w:rsid w:val="004373EC"/>
    <w:rsid w:val="004421E8"/>
    <w:rsid w:val="00442459"/>
    <w:rsid w:val="004446A8"/>
    <w:rsid w:val="004446EC"/>
    <w:rsid w:val="004466E1"/>
    <w:rsid w:val="00446F20"/>
    <w:rsid w:val="004477D1"/>
    <w:rsid w:val="00447DF2"/>
    <w:rsid w:val="00450991"/>
    <w:rsid w:val="00453D60"/>
    <w:rsid w:val="00460AEE"/>
    <w:rsid w:val="0046253D"/>
    <w:rsid w:val="004634F2"/>
    <w:rsid w:val="0047092C"/>
    <w:rsid w:val="004815E3"/>
    <w:rsid w:val="00486025"/>
    <w:rsid w:val="00491F66"/>
    <w:rsid w:val="004A2F81"/>
    <w:rsid w:val="004A6F25"/>
    <w:rsid w:val="004A745D"/>
    <w:rsid w:val="004A78DE"/>
    <w:rsid w:val="004C5C2B"/>
    <w:rsid w:val="004C5E45"/>
    <w:rsid w:val="004D0002"/>
    <w:rsid w:val="004D5731"/>
    <w:rsid w:val="004E2520"/>
    <w:rsid w:val="004E2FF3"/>
    <w:rsid w:val="004E3C65"/>
    <w:rsid w:val="004E7A8B"/>
    <w:rsid w:val="004F35CB"/>
    <w:rsid w:val="004F6E9B"/>
    <w:rsid w:val="00504036"/>
    <w:rsid w:val="00504791"/>
    <w:rsid w:val="005233E7"/>
    <w:rsid w:val="00523CB1"/>
    <w:rsid w:val="00525EF1"/>
    <w:rsid w:val="0053097C"/>
    <w:rsid w:val="0053611A"/>
    <w:rsid w:val="005421AA"/>
    <w:rsid w:val="005458AD"/>
    <w:rsid w:val="00546675"/>
    <w:rsid w:val="005468EA"/>
    <w:rsid w:val="00556197"/>
    <w:rsid w:val="00561F03"/>
    <w:rsid w:val="00566D8E"/>
    <w:rsid w:val="00581209"/>
    <w:rsid w:val="005836D3"/>
    <w:rsid w:val="00594A46"/>
    <w:rsid w:val="005A3FAC"/>
    <w:rsid w:val="005A4A7A"/>
    <w:rsid w:val="005A54E9"/>
    <w:rsid w:val="005A67AB"/>
    <w:rsid w:val="005C0F25"/>
    <w:rsid w:val="005C7B48"/>
    <w:rsid w:val="005D2C01"/>
    <w:rsid w:val="005E06D7"/>
    <w:rsid w:val="005E26AA"/>
    <w:rsid w:val="005E75DD"/>
    <w:rsid w:val="005E7F12"/>
    <w:rsid w:val="005F0D9C"/>
    <w:rsid w:val="005F2782"/>
    <w:rsid w:val="005F3858"/>
    <w:rsid w:val="005F753A"/>
    <w:rsid w:val="005F7DC9"/>
    <w:rsid w:val="00604057"/>
    <w:rsid w:val="00617BB2"/>
    <w:rsid w:val="0062270D"/>
    <w:rsid w:val="006247F5"/>
    <w:rsid w:val="00630C69"/>
    <w:rsid w:val="00632123"/>
    <w:rsid w:val="00632657"/>
    <w:rsid w:val="00633E23"/>
    <w:rsid w:val="006407E7"/>
    <w:rsid w:val="006477D1"/>
    <w:rsid w:val="006561D2"/>
    <w:rsid w:val="00660753"/>
    <w:rsid w:val="00663F1E"/>
    <w:rsid w:val="00664DC8"/>
    <w:rsid w:val="0066503C"/>
    <w:rsid w:val="006742CC"/>
    <w:rsid w:val="00675F3B"/>
    <w:rsid w:val="00683166"/>
    <w:rsid w:val="006850D1"/>
    <w:rsid w:val="00691E53"/>
    <w:rsid w:val="006940EE"/>
    <w:rsid w:val="00696EC2"/>
    <w:rsid w:val="006A5109"/>
    <w:rsid w:val="006B3103"/>
    <w:rsid w:val="006B407A"/>
    <w:rsid w:val="006B4192"/>
    <w:rsid w:val="006B6050"/>
    <w:rsid w:val="006C3D82"/>
    <w:rsid w:val="006C588B"/>
    <w:rsid w:val="006C69AC"/>
    <w:rsid w:val="006D0833"/>
    <w:rsid w:val="006D3E75"/>
    <w:rsid w:val="006D5A5D"/>
    <w:rsid w:val="006D708E"/>
    <w:rsid w:val="006F61E2"/>
    <w:rsid w:val="006F7375"/>
    <w:rsid w:val="007037AC"/>
    <w:rsid w:val="00706ACA"/>
    <w:rsid w:val="007129D8"/>
    <w:rsid w:val="007170F7"/>
    <w:rsid w:val="00721CED"/>
    <w:rsid w:val="00723519"/>
    <w:rsid w:val="00725FA1"/>
    <w:rsid w:val="007350A1"/>
    <w:rsid w:val="00765D3A"/>
    <w:rsid w:val="00767C58"/>
    <w:rsid w:val="007755E5"/>
    <w:rsid w:val="00776CF7"/>
    <w:rsid w:val="00781486"/>
    <w:rsid w:val="00791182"/>
    <w:rsid w:val="00792553"/>
    <w:rsid w:val="00794567"/>
    <w:rsid w:val="007949AB"/>
    <w:rsid w:val="00795027"/>
    <w:rsid w:val="007A3B99"/>
    <w:rsid w:val="007A5D93"/>
    <w:rsid w:val="007C31CF"/>
    <w:rsid w:val="007C7345"/>
    <w:rsid w:val="007D2C56"/>
    <w:rsid w:val="007F13FD"/>
    <w:rsid w:val="007F39BB"/>
    <w:rsid w:val="007F7D7F"/>
    <w:rsid w:val="00803B6C"/>
    <w:rsid w:val="00812D83"/>
    <w:rsid w:val="00814BEB"/>
    <w:rsid w:val="00824C7D"/>
    <w:rsid w:val="0083339C"/>
    <w:rsid w:val="0083448A"/>
    <w:rsid w:val="00843617"/>
    <w:rsid w:val="008507BF"/>
    <w:rsid w:val="00850947"/>
    <w:rsid w:val="00854A63"/>
    <w:rsid w:val="008576D7"/>
    <w:rsid w:val="0086515A"/>
    <w:rsid w:val="008702DB"/>
    <w:rsid w:val="00874278"/>
    <w:rsid w:val="00882DAB"/>
    <w:rsid w:val="0088468F"/>
    <w:rsid w:val="008870AE"/>
    <w:rsid w:val="008871BD"/>
    <w:rsid w:val="0088744F"/>
    <w:rsid w:val="008958CA"/>
    <w:rsid w:val="008A3492"/>
    <w:rsid w:val="008B79B9"/>
    <w:rsid w:val="008C6D4D"/>
    <w:rsid w:val="008D5230"/>
    <w:rsid w:val="008E7496"/>
    <w:rsid w:val="008F0EB7"/>
    <w:rsid w:val="008F1068"/>
    <w:rsid w:val="00900511"/>
    <w:rsid w:val="00901890"/>
    <w:rsid w:val="00901F7D"/>
    <w:rsid w:val="0090658F"/>
    <w:rsid w:val="00907D27"/>
    <w:rsid w:val="00912D28"/>
    <w:rsid w:val="00915509"/>
    <w:rsid w:val="00920B16"/>
    <w:rsid w:val="00923837"/>
    <w:rsid w:val="009269EF"/>
    <w:rsid w:val="00942A79"/>
    <w:rsid w:val="00942F10"/>
    <w:rsid w:val="0094559D"/>
    <w:rsid w:val="00950244"/>
    <w:rsid w:val="009552EB"/>
    <w:rsid w:val="009557E5"/>
    <w:rsid w:val="009604B2"/>
    <w:rsid w:val="00963D90"/>
    <w:rsid w:val="009677F6"/>
    <w:rsid w:val="009766B2"/>
    <w:rsid w:val="0098249A"/>
    <w:rsid w:val="009871EE"/>
    <w:rsid w:val="009937D9"/>
    <w:rsid w:val="009A2E75"/>
    <w:rsid w:val="009A62CF"/>
    <w:rsid w:val="009B5EF5"/>
    <w:rsid w:val="009B7CA6"/>
    <w:rsid w:val="009C577F"/>
    <w:rsid w:val="009C656F"/>
    <w:rsid w:val="009C6F45"/>
    <w:rsid w:val="009D5895"/>
    <w:rsid w:val="009D714E"/>
    <w:rsid w:val="009F2ABF"/>
    <w:rsid w:val="009F2EE1"/>
    <w:rsid w:val="00A02E07"/>
    <w:rsid w:val="00A034F6"/>
    <w:rsid w:val="00A1731B"/>
    <w:rsid w:val="00A23266"/>
    <w:rsid w:val="00A23CBE"/>
    <w:rsid w:val="00A253B3"/>
    <w:rsid w:val="00A267FC"/>
    <w:rsid w:val="00A33F3D"/>
    <w:rsid w:val="00A43000"/>
    <w:rsid w:val="00A5565D"/>
    <w:rsid w:val="00A55A7F"/>
    <w:rsid w:val="00A56930"/>
    <w:rsid w:val="00A57257"/>
    <w:rsid w:val="00A6598C"/>
    <w:rsid w:val="00A679A3"/>
    <w:rsid w:val="00A710FB"/>
    <w:rsid w:val="00A740D6"/>
    <w:rsid w:val="00A8606D"/>
    <w:rsid w:val="00A86709"/>
    <w:rsid w:val="00A87B4C"/>
    <w:rsid w:val="00A940F6"/>
    <w:rsid w:val="00A95D58"/>
    <w:rsid w:val="00AA78AC"/>
    <w:rsid w:val="00AB4F6B"/>
    <w:rsid w:val="00AC4E02"/>
    <w:rsid w:val="00AC777B"/>
    <w:rsid w:val="00AE11C2"/>
    <w:rsid w:val="00AE2FB0"/>
    <w:rsid w:val="00AE437E"/>
    <w:rsid w:val="00AE636C"/>
    <w:rsid w:val="00AE6563"/>
    <w:rsid w:val="00AF1F99"/>
    <w:rsid w:val="00AF3044"/>
    <w:rsid w:val="00B03EE2"/>
    <w:rsid w:val="00B05DAD"/>
    <w:rsid w:val="00B1411D"/>
    <w:rsid w:val="00B21D58"/>
    <w:rsid w:val="00B275A1"/>
    <w:rsid w:val="00B30D66"/>
    <w:rsid w:val="00B50465"/>
    <w:rsid w:val="00B50C7B"/>
    <w:rsid w:val="00B50CD5"/>
    <w:rsid w:val="00B51145"/>
    <w:rsid w:val="00B556EF"/>
    <w:rsid w:val="00B55D22"/>
    <w:rsid w:val="00B562A3"/>
    <w:rsid w:val="00B6122B"/>
    <w:rsid w:val="00B65FCD"/>
    <w:rsid w:val="00B708FD"/>
    <w:rsid w:val="00B7395A"/>
    <w:rsid w:val="00B75DB5"/>
    <w:rsid w:val="00B83916"/>
    <w:rsid w:val="00BA136C"/>
    <w:rsid w:val="00BA1FD0"/>
    <w:rsid w:val="00BA7B9C"/>
    <w:rsid w:val="00BB0686"/>
    <w:rsid w:val="00BB225C"/>
    <w:rsid w:val="00BB5161"/>
    <w:rsid w:val="00BB7425"/>
    <w:rsid w:val="00BD012B"/>
    <w:rsid w:val="00BD4970"/>
    <w:rsid w:val="00BE6C5F"/>
    <w:rsid w:val="00BE7F2E"/>
    <w:rsid w:val="00BF2E07"/>
    <w:rsid w:val="00C021CC"/>
    <w:rsid w:val="00C10433"/>
    <w:rsid w:val="00C12015"/>
    <w:rsid w:val="00C17691"/>
    <w:rsid w:val="00C239FB"/>
    <w:rsid w:val="00C2605F"/>
    <w:rsid w:val="00C26514"/>
    <w:rsid w:val="00C31241"/>
    <w:rsid w:val="00C32CBB"/>
    <w:rsid w:val="00C3468B"/>
    <w:rsid w:val="00C4184B"/>
    <w:rsid w:val="00C470E9"/>
    <w:rsid w:val="00C53EA8"/>
    <w:rsid w:val="00C70872"/>
    <w:rsid w:val="00C73206"/>
    <w:rsid w:val="00C73EBA"/>
    <w:rsid w:val="00C761D1"/>
    <w:rsid w:val="00C80F77"/>
    <w:rsid w:val="00C82416"/>
    <w:rsid w:val="00C84B56"/>
    <w:rsid w:val="00C87DE4"/>
    <w:rsid w:val="00C921C1"/>
    <w:rsid w:val="00C9709D"/>
    <w:rsid w:val="00CA0EC2"/>
    <w:rsid w:val="00CA77A8"/>
    <w:rsid w:val="00CB1B94"/>
    <w:rsid w:val="00CB1DCD"/>
    <w:rsid w:val="00CC50A1"/>
    <w:rsid w:val="00CD49B6"/>
    <w:rsid w:val="00CE41AF"/>
    <w:rsid w:val="00CE5874"/>
    <w:rsid w:val="00CF1C8C"/>
    <w:rsid w:val="00CF2278"/>
    <w:rsid w:val="00D01F4D"/>
    <w:rsid w:val="00D022DD"/>
    <w:rsid w:val="00D06156"/>
    <w:rsid w:val="00D07FB6"/>
    <w:rsid w:val="00D11795"/>
    <w:rsid w:val="00D11801"/>
    <w:rsid w:val="00D3111B"/>
    <w:rsid w:val="00D31A46"/>
    <w:rsid w:val="00D35A1D"/>
    <w:rsid w:val="00D42C23"/>
    <w:rsid w:val="00D44126"/>
    <w:rsid w:val="00D454FD"/>
    <w:rsid w:val="00D4560B"/>
    <w:rsid w:val="00D52214"/>
    <w:rsid w:val="00D61841"/>
    <w:rsid w:val="00D63194"/>
    <w:rsid w:val="00D675F0"/>
    <w:rsid w:val="00D76214"/>
    <w:rsid w:val="00D812AC"/>
    <w:rsid w:val="00D827D4"/>
    <w:rsid w:val="00D82E9D"/>
    <w:rsid w:val="00D8540B"/>
    <w:rsid w:val="00D92BEC"/>
    <w:rsid w:val="00D96677"/>
    <w:rsid w:val="00DA4FCD"/>
    <w:rsid w:val="00DA65C9"/>
    <w:rsid w:val="00DA75F5"/>
    <w:rsid w:val="00DB259A"/>
    <w:rsid w:val="00DB39DE"/>
    <w:rsid w:val="00DC08BD"/>
    <w:rsid w:val="00DC7E8D"/>
    <w:rsid w:val="00DD1B70"/>
    <w:rsid w:val="00DD1DCE"/>
    <w:rsid w:val="00DD3C88"/>
    <w:rsid w:val="00DD6794"/>
    <w:rsid w:val="00DD723C"/>
    <w:rsid w:val="00DE1883"/>
    <w:rsid w:val="00DF1A35"/>
    <w:rsid w:val="00DF1C54"/>
    <w:rsid w:val="00DF376B"/>
    <w:rsid w:val="00E041FA"/>
    <w:rsid w:val="00E07978"/>
    <w:rsid w:val="00E13DCD"/>
    <w:rsid w:val="00E14F30"/>
    <w:rsid w:val="00E17E87"/>
    <w:rsid w:val="00E27BC5"/>
    <w:rsid w:val="00E30274"/>
    <w:rsid w:val="00E3029C"/>
    <w:rsid w:val="00E32794"/>
    <w:rsid w:val="00E43B21"/>
    <w:rsid w:val="00E45462"/>
    <w:rsid w:val="00E51039"/>
    <w:rsid w:val="00E52A9D"/>
    <w:rsid w:val="00E619D9"/>
    <w:rsid w:val="00E61A48"/>
    <w:rsid w:val="00E62604"/>
    <w:rsid w:val="00E64752"/>
    <w:rsid w:val="00E67868"/>
    <w:rsid w:val="00E8055C"/>
    <w:rsid w:val="00E90DD8"/>
    <w:rsid w:val="00EA438A"/>
    <w:rsid w:val="00EB384B"/>
    <w:rsid w:val="00EB45F2"/>
    <w:rsid w:val="00EB61E5"/>
    <w:rsid w:val="00EC3B2D"/>
    <w:rsid w:val="00EC5743"/>
    <w:rsid w:val="00EC6630"/>
    <w:rsid w:val="00EF645A"/>
    <w:rsid w:val="00F0457A"/>
    <w:rsid w:val="00F0633E"/>
    <w:rsid w:val="00F10A71"/>
    <w:rsid w:val="00F14B41"/>
    <w:rsid w:val="00F20915"/>
    <w:rsid w:val="00F209B6"/>
    <w:rsid w:val="00F24051"/>
    <w:rsid w:val="00F33998"/>
    <w:rsid w:val="00F406B0"/>
    <w:rsid w:val="00F4178C"/>
    <w:rsid w:val="00F64890"/>
    <w:rsid w:val="00F65DD5"/>
    <w:rsid w:val="00F66006"/>
    <w:rsid w:val="00F701D3"/>
    <w:rsid w:val="00F732AA"/>
    <w:rsid w:val="00F74998"/>
    <w:rsid w:val="00FA048F"/>
    <w:rsid w:val="00FA1CEB"/>
    <w:rsid w:val="00FA7F8A"/>
    <w:rsid w:val="00FB059C"/>
    <w:rsid w:val="00FB579D"/>
    <w:rsid w:val="00FD2C9C"/>
    <w:rsid w:val="00FD3141"/>
    <w:rsid w:val="00FD3B39"/>
    <w:rsid w:val="00FE716A"/>
    <w:rsid w:val="00FF12E4"/>
    <w:rsid w:val="00FF2B7A"/>
    <w:rsid w:val="00FF3E27"/>
    <w:rsid w:val="00FF5CA8"/>
    <w:rsid w:val="00FF7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6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A56930"/>
    <w:rPr>
      <w:b/>
      <w:bCs/>
    </w:rPr>
  </w:style>
  <w:style w:type="paragraph" w:styleId="a5">
    <w:name w:val="List Paragraph"/>
    <w:basedOn w:val="a"/>
    <w:uiPriority w:val="34"/>
    <w:qFormat/>
    <w:rsid w:val="00D31A46"/>
    <w:pPr>
      <w:ind w:left="720"/>
      <w:contextualSpacing/>
    </w:pPr>
  </w:style>
  <w:style w:type="character" w:customStyle="1" w:styleId="fontstyle01">
    <w:name w:val="fontstyle01"/>
    <w:basedOn w:val="a0"/>
    <w:rsid w:val="00D31A46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5F7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7DC9"/>
    <w:rPr>
      <w:rFonts w:ascii="Tahoma" w:hAnsi="Tahoma" w:cs="Tahoma"/>
      <w:sz w:val="16"/>
      <w:szCs w:val="16"/>
    </w:rPr>
  </w:style>
  <w:style w:type="character" w:customStyle="1" w:styleId="fontstyle21">
    <w:name w:val="fontstyle21"/>
    <w:basedOn w:val="a0"/>
    <w:rsid w:val="005F7DC9"/>
    <w:rPr>
      <w:rFonts w:ascii="Calibri-Italic" w:hAnsi="Calibri-Italic" w:hint="default"/>
      <w:b w:val="0"/>
      <w:bCs w:val="0"/>
      <w:i/>
      <w:iCs/>
      <w:color w:val="000000"/>
      <w:sz w:val="22"/>
      <w:szCs w:val="22"/>
    </w:rPr>
  </w:style>
  <w:style w:type="character" w:customStyle="1" w:styleId="fontstyle31">
    <w:name w:val="fontstyle31"/>
    <w:basedOn w:val="a0"/>
    <w:rsid w:val="005F7DC9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0"/>
    <w:rsid w:val="00DA65C9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a0"/>
    <w:rsid w:val="006D0833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styleId="a8">
    <w:name w:val="Hyperlink"/>
    <w:basedOn w:val="a0"/>
    <w:uiPriority w:val="99"/>
    <w:unhideWhenUsed/>
    <w:rsid w:val="00376B0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iseases.medelement.com/diseas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CC181D-7711-4F13-B668-3CF91FB95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7787</Words>
  <Characters>44388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52071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dcterms:created xsi:type="dcterms:W3CDTF">2020-12-14T15:54:00Z</dcterms:created>
  <dcterms:modified xsi:type="dcterms:W3CDTF">2020-12-29T18:03:00Z</dcterms:modified>
</cp:coreProperties>
</file>