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E1" w:rsidRDefault="003F0611">
      <w:pPr>
        <w:pStyle w:val="a0"/>
        <w:spacing w:after="0" w:line="36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Утверждены </w:t>
      </w:r>
      <w:r w:rsidR="003D180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3747135</wp:posOffset>
                </wp:positionV>
                <wp:extent cx="932815" cy="761365"/>
                <wp:effectExtent l="6985" t="9525" r="12700" b="1016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427pt;margin-top:295.05pt;width:73.45pt;height:5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" strokecolor="white">
                <v:stroke joinstyle="round"/>
              </v:rect>
            </w:pict>
          </mc:Fallback>
        </mc:AlternateContent>
      </w:r>
    </w:p>
    <w:p w:rsidR="003126E1" w:rsidRDefault="003F0611">
      <w:pPr>
        <w:pStyle w:val="a0"/>
        <w:spacing w:after="0" w:line="36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на заседании профильной комиссии</w:t>
      </w:r>
    </w:p>
    <w:p w:rsidR="003126E1" w:rsidRDefault="003F0611">
      <w:pPr>
        <w:pStyle w:val="a0"/>
        <w:spacing w:after="0" w:line="36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в рамках научно-практическ</w:t>
      </w:r>
      <w:r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6E1" w:rsidRDefault="003F0611">
      <w:pPr>
        <w:pStyle w:val="a0"/>
        <w:spacing w:after="0" w:line="36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«Эндокринологические аспекты в педиатрии» </w:t>
      </w:r>
    </w:p>
    <w:p w:rsidR="003126E1" w:rsidRDefault="003F0611">
      <w:pPr>
        <w:pStyle w:val="a0"/>
        <w:spacing w:after="0" w:line="36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Москва,  декабрь 2013 г.</w:t>
      </w:r>
    </w:p>
    <w:p w:rsidR="003126E1" w:rsidRDefault="003126E1">
      <w:pPr>
        <w:pStyle w:val="a0"/>
        <w:spacing w:after="0" w:line="360" w:lineRule="auto"/>
        <w:jc w:val="center"/>
      </w:pPr>
    </w:p>
    <w:p w:rsidR="003126E1" w:rsidRDefault="003126E1">
      <w:pPr>
        <w:pStyle w:val="a0"/>
        <w:spacing w:after="0" w:line="360" w:lineRule="auto"/>
        <w:jc w:val="center"/>
      </w:pPr>
    </w:p>
    <w:p w:rsidR="003126E1" w:rsidRDefault="003126E1">
      <w:pPr>
        <w:pStyle w:val="a0"/>
        <w:spacing w:after="0" w:line="360" w:lineRule="auto"/>
        <w:jc w:val="center"/>
      </w:pPr>
    </w:p>
    <w:p w:rsidR="003126E1" w:rsidRDefault="003126E1">
      <w:pPr>
        <w:pStyle w:val="a0"/>
        <w:spacing w:after="0" w:line="360" w:lineRule="auto"/>
        <w:jc w:val="center"/>
      </w:pPr>
    </w:p>
    <w:p w:rsidR="003126E1" w:rsidRDefault="003126E1">
      <w:pPr>
        <w:pStyle w:val="a0"/>
        <w:spacing w:after="0" w:line="360" w:lineRule="auto"/>
        <w:jc w:val="center"/>
      </w:pPr>
    </w:p>
    <w:p w:rsidR="003126E1" w:rsidRDefault="003126E1">
      <w:pPr>
        <w:pStyle w:val="a0"/>
        <w:spacing w:after="0" w:line="360" w:lineRule="auto"/>
        <w:jc w:val="center"/>
      </w:pPr>
    </w:p>
    <w:p w:rsidR="003126E1" w:rsidRDefault="003126E1">
      <w:pPr>
        <w:pStyle w:val="a0"/>
        <w:spacing w:after="0" w:line="360" w:lineRule="auto"/>
        <w:jc w:val="center"/>
      </w:pPr>
    </w:p>
    <w:p w:rsidR="003126E1" w:rsidRDefault="003126E1">
      <w:pPr>
        <w:pStyle w:val="a0"/>
        <w:spacing w:after="0" w:line="360" w:lineRule="auto"/>
        <w:jc w:val="center"/>
      </w:pPr>
    </w:p>
    <w:p w:rsidR="003126E1" w:rsidRDefault="003126E1">
      <w:pPr>
        <w:pStyle w:val="a0"/>
        <w:spacing w:after="0" w:line="360" w:lineRule="auto"/>
        <w:jc w:val="center"/>
      </w:pPr>
    </w:p>
    <w:p w:rsidR="003126E1" w:rsidRDefault="003F0611">
      <w:pPr>
        <w:pStyle w:val="a0"/>
        <w:spacing w:after="0" w:line="360" w:lineRule="auto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федеральные клинические рекомендации </w:t>
      </w:r>
      <w:bookmarkStart w:id="0" w:name="_GoBack"/>
      <w:r>
        <w:rPr>
          <w:rFonts w:ascii="Times New Roman" w:hAnsi="Times New Roman" w:cs="Times New Roman"/>
          <w:b/>
          <w:caps/>
          <w:sz w:val="28"/>
          <w:szCs w:val="28"/>
        </w:rPr>
        <w:t>(протоколы) по ведению</w:t>
      </w:r>
    </w:p>
    <w:p w:rsidR="003126E1" w:rsidRDefault="003F0611">
      <w:pPr>
        <w:pStyle w:val="a0"/>
        <w:spacing w:after="0" w:line="360" w:lineRule="auto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детей и подростков с </w:t>
      </w:r>
      <w:r>
        <w:rPr>
          <w:rFonts w:ascii="Times New Roman" w:hAnsi="Times New Roman" w:cs="Times New Roman"/>
          <w:b/>
          <w:caps/>
          <w:sz w:val="28"/>
          <w:szCs w:val="28"/>
        </w:rPr>
        <w:t>гипопаратиреозом</w:t>
      </w:r>
    </w:p>
    <w:bookmarkEnd w:id="0"/>
    <w:p w:rsidR="003126E1" w:rsidRDefault="003126E1">
      <w:pPr>
        <w:pStyle w:val="a0"/>
      </w:pPr>
    </w:p>
    <w:p w:rsidR="003126E1" w:rsidRDefault="003F0611">
      <w:pPr>
        <w:pStyle w:val="Title020"/>
        <w:pageBreakBefore/>
        <w:spacing w:before="0" w:after="0" w:line="100" w:lineRule="atLeast"/>
        <w:ind w:left="0" w:firstLine="0"/>
        <w:jc w:val="left"/>
      </w:pPr>
      <w:r>
        <w:rPr>
          <w:rFonts w:ascii="Times New Roman" w:hAnsi="Times New Roman"/>
          <w:color w:val="00000A"/>
          <w:szCs w:val="28"/>
        </w:rPr>
        <w:lastRenderedPageBreak/>
        <w:t>Подготовлено старшим научным сотрудником</w:t>
      </w:r>
    </w:p>
    <w:p w:rsidR="003126E1" w:rsidRDefault="003F0611">
      <w:pPr>
        <w:pStyle w:val="Title020"/>
        <w:spacing w:before="0" w:after="0" w:line="100" w:lineRule="atLeast"/>
        <w:ind w:left="0" w:firstLine="0"/>
        <w:jc w:val="left"/>
      </w:pPr>
      <w:r>
        <w:rPr>
          <w:rFonts w:ascii="Times New Roman" w:hAnsi="Times New Roman"/>
          <w:color w:val="00000A"/>
          <w:szCs w:val="28"/>
        </w:rPr>
        <w:t xml:space="preserve">Института детской эндокринологии </w:t>
      </w:r>
    </w:p>
    <w:p w:rsidR="003126E1" w:rsidRDefault="003F0611">
      <w:pPr>
        <w:pStyle w:val="Title020"/>
        <w:spacing w:before="0" w:after="0" w:line="100" w:lineRule="atLeast"/>
        <w:ind w:left="0" w:firstLine="0"/>
        <w:jc w:val="left"/>
      </w:pPr>
      <w:r>
        <w:rPr>
          <w:rFonts w:ascii="Times New Roman" w:hAnsi="Times New Roman"/>
          <w:color w:val="00000A"/>
          <w:szCs w:val="28"/>
        </w:rPr>
        <w:t>ФГБУ «Эндокринологический научный центр» Минздрава России:</w:t>
      </w:r>
    </w:p>
    <w:p w:rsidR="003126E1" w:rsidRDefault="003F0611">
      <w:pPr>
        <w:pStyle w:val="Title020"/>
        <w:spacing w:before="0" w:after="0" w:line="100" w:lineRule="atLeast"/>
        <w:jc w:val="left"/>
      </w:pPr>
      <w:r>
        <w:rPr>
          <w:rFonts w:ascii="Times New Roman" w:hAnsi="Times New Roman"/>
          <w:color w:val="00000A"/>
          <w:szCs w:val="28"/>
        </w:rPr>
        <w:t>к.м.н. Орловой Е.М.</w:t>
      </w:r>
    </w:p>
    <w:p w:rsidR="003126E1" w:rsidRDefault="003126E1">
      <w:pPr>
        <w:pStyle w:val="a0"/>
      </w:pPr>
    </w:p>
    <w:p w:rsidR="003126E1" w:rsidRDefault="003F0611">
      <w:pPr>
        <w:pStyle w:val="a0"/>
        <w:pageBreakBefore/>
        <w:spacing w:after="0" w:line="360" w:lineRule="auto"/>
        <w:jc w:val="center"/>
      </w:pPr>
      <w:r>
        <w:rPr>
          <w:rFonts w:ascii="Times New Roman" w:hAnsi="Times New Roman" w:cs="Times New Roman"/>
          <w:b/>
          <w:color w:val="548DD4"/>
          <w:sz w:val="28"/>
          <w:szCs w:val="28"/>
        </w:rPr>
        <w:lastRenderedPageBreak/>
        <w:t>Оглавление</w:t>
      </w:r>
    </w:p>
    <w:p w:rsidR="003126E1" w:rsidRDefault="003126E1">
      <w:pPr>
        <w:pStyle w:val="a0"/>
        <w:spacing w:after="0" w:line="360" w:lineRule="auto"/>
        <w:jc w:val="center"/>
      </w:pPr>
    </w:p>
    <w:p w:rsidR="003126E1" w:rsidRDefault="003F0611">
      <w:pPr>
        <w:pStyle w:val="a0"/>
        <w:spacing w:after="0" w:line="360" w:lineRule="auto"/>
      </w:pPr>
      <w:r>
        <w:rPr>
          <w:rFonts w:ascii="Times New Roman" w:hAnsi="Times New Roman" w:cs="Times New Roman"/>
          <w:b/>
          <w:color w:val="548DD4"/>
          <w:sz w:val="28"/>
          <w:szCs w:val="28"/>
        </w:rPr>
        <w:t>Методология……………………………………………………………………..3</w:t>
      </w:r>
    </w:p>
    <w:p w:rsidR="003126E1" w:rsidRDefault="003F0611">
      <w:pPr>
        <w:pStyle w:val="a0"/>
        <w:spacing w:after="0" w:line="360" w:lineRule="auto"/>
      </w:pPr>
      <w:r>
        <w:rPr>
          <w:rFonts w:ascii="Times New Roman" w:hAnsi="Times New Roman" w:cs="Times New Roman"/>
          <w:b/>
          <w:color w:val="548DD4"/>
          <w:sz w:val="28"/>
          <w:szCs w:val="28"/>
        </w:rPr>
        <w:t xml:space="preserve">Определение и </w:t>
      </w:r>
      <w:r>
        <w:rPr>
          <w:rFonts w:ascii="Times New Roman" w:hAnsi="Times New Roman" w:cs="Times New Roman"/>
          <w:b/>
          <w:color w:val="548DD4"/>
          <w:sz w:val="28"/>
          <w:szCs w:val="28"/>
        </w:rPr>
        <w:t>этиология……………………………………………………...6</w:t>
      </w:r>
    </w:p>
    <w:p w:rsidR="003126E1" w:rsidRDefault="003F0611">
      <w:pPr>
        <w:pStyle w:val="a0"/>
        <w:spacing w:after="0" w:line="360" w:lineRule="auto"/>
      </w:pPr>
      <w:r>
        <w:rPr>
          <w:rFonts w:ascii="Times New Roman" w:hAnsi="Times New Roman" w:cs="Times New Roman"/>
          <w:b/>
          <w:color w:val="548DD4"/>
          <w:sz w:val="28"/>
          <w:szCs w:val="28"/>
        </w:rPr>
        <w:t>Диагностика</w:t>
      </w:r>
    </w:p>
    <w:p w:rsidR="003126E1" w:rsidRDefault="003F0611">
      <w:pPr>
        <w:pStyle w:val="a0"/>
        <w:spacing w:after="0" w:line="360" w:lineRule="auto"/>
        <w:ind w:left="708" w:firstLine="708"/>
      </w:pPr>
      <w:r>
        <w:rPr>
          <w:rFonts w:ascii="Times New Roman" w:hAnsi="Times New Roman" w:cs="Times New Roman"/>
          <w:b/>
          <w:color w:val="548DD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548DD4"/>
          <w:sz w:val="28"/>
          <w:szCs w:val="28"/>
        </w:rPr>
        <w:t xml:space="preserve"> этап…………………………………………………………..…....7</w:t>
      </w:r>
    </w:p>
    <w:p w:rsidR="003126E1" w:rsidRDefault="003F0611">
      <w:pPr>
        <w:pStyle w:val="a0"/>
        <w:spacing w:after="0" w:line="360" w:lineRule="auto"/>
        <w:ind w:left="708" w:firstLine="708"/>
      </w:pPr>
      <w:r>
        <w:rPr>
          <w:rFonts w:ascii="Times New Roman" w:hAnsi="Times New Roman" w:cs="Times New Roman"/>
          <w:b/>
          <w:color w:val="548DD4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548DD4"/>
          <w:sz w:val="28"/>
          <w:szCs w:val="28"/>
        </w:rPr>
        <w:t xml:space="preserve"> этап………………………………………………………………11</w:t>
      </w:r>
    </w:p>
    <w:p w:rsidR="003126E1" w:rsidRDefault="003F0611">
      <w:pPr>
        <w:pStyle w:val="a0"/>
        <w:spacing w:after="0" w:line="360" w:lineRule="auto"/>
        <w:jc w:val="both"/>
      </w:pPr>
      <w:r>
        <w:rPr>
          <w:rFonts w:ascii="Times New Roman" w:hAnsi="Times New Roman" w:cs="Times New Roman"/>
          <w:b/>
          <w:color w:val="548DD4"/>
          <w:sz w:val="28"/>
          <w:szCs w:val="28"/>
        </w:rPr>
        <w:t>Наблюдение за пациентом………………………………………………….14</w:t>
      </w:r>
    </w:p>
    <w:p w:rsidR="003126E1" w:rsidRDefault="003F0611">
      <w:pPr>
        <w:pStyle w:val="a0"/>
        <w:spacing w:after="0" w:line="360" w:lineRule="auto"/>
        <w:jc w:val="both"/>
      </w:pPr>
      <w:r>
        <w:rPr>
          <w:rFonts w:ascii="Times New Roman" w:hAnsi="Times New Roman" w:cs="Times New Roman"/>
          <w:b/>
          <w:color w:val="548DD4"/>
          <w:sz w:val="28"/>
          <w:szCs w:val="28"/>
        </w:rPr>
        <w:t>Лечение………………………………..………………………………………15</w:t>
      </w:r>
    </w:p>
    <w:p w:rsidR="003126E1" w:rsidRDefault="003F0611">
      <w:pPr>
        <w:pStyle w:val="a0"/>
      </w:pPr>
      <w:r>
        <w:rPr>
          <w:rFonts w:ascii="Times New Roman" w:hAnsi="Times New Roman" w:cs="Times New Roman"/>
          <w:b/>
          <w:color w:val="548DD4"/>
          <w:sz w:val="28"/>
          <w:szCs w:val="28"/>
        </w:rPr>
        <w:t>Постоянная поддерживающая терапия……...26</w:t>
      </w:r>
    </w:p>
    <w:p w:rsidR="003126E1" w:rsidRDefault="003126E1">
      <w:pPr>
        <w:pStyle w:val="a0"/>
        <w:spacing w:after="0" w:line="360" w:lineRule="auto"/>
        <w:jc w:val="both"/>
      </w:pPr>
    </w:p>
    <w:p w:rsidR="003126E1" w:rsidRDefault="003126E1">
      <w:pPr>
        <w:pStyle w:val="a0"/>
        <w:spacing w:after="0" w:line="360" w:lineRule="auto"/>
        <w:jc w:val="both"/>
      </w:pPr>
    </w:p>
    <w:p w:rsidR="003126E1" w:rsidRDefault="003126E1">
      <w:pPr>
        <w:pStyle w:val="a0"/>
      </w:pPr>
    </w:p>
    <w:p w:rsidR="003126E1" w:rsidRDefault="003F0611">
      <w:pPr>
        <w:pStyle w:val="a0"/>
        <w:pageBreakBefore/>
        <w:numPr>
          <w:ilvl w:val="0"/>
          <w:numId w:val="6"/>
        </w:numPr>
        <w:spacing w:line="100" w:lineRule="atLeast"/>
      </w:pPr>
      <w:r>
        <w:rPr>
          <w:rFonts w:ascii="Times New Roman" w:hAnsi="Times New Roman"/>
          <w:b/>
          <w:sz w:val="28"/>
          <w:szCs w:val="28"/>
        </w:rPr>
        <w:lastRenderedPageBreak/>
        <w:t>Методологи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3126E1" w:rsidRDefault="003F0611">
      <w:pPr>
        <w:pStyle w:val="a0"/>
        <w:spacing w:line="100" w:lineRule="atLeast"/>
      </w:pPr>
      <w:r>
        <w:rPr>
          <w:rFonts w:ascii="Times New Roman" w:hAnsi="Times New Roman"/>
          <w:b/>
          <w:sz w:val="24"/>
          <w:szCs w:val="24"/>
        </w:rPr>
        <w:t>Методы, использованные для сбора/селекции доказательств:</w:t>
      </w:r>
    </w:p>
    <w:p w:rsidR="003126E1" w:rsidRDefault="003F0611">
      <w:pPr>
        <w:pStyle w:val="a0"/>
        <w:spacing w:line="100" w:lineRule="atLeast"/>
      </w:pPr>
      <w:r>
        <w:rPr>
          <w:rFonts w:ascii="Times New Roman" w:hAnsi="Times New Roman"/>
          <w:sz w:val="24"/>
          <w:szCs w:val="24"/>
        </w:rPr>
        <w:t>Поиск в электронных базах данных.</w:t>
      </w:r>
    </w:p>
    <w:p w:rsidR="003126E1" w:rsidRDefault="003F0611">
      <w:pPr>
        <w:pStyle w:val="a0"/>
        <w:spacing w:line="100" w:lineRule="atLeast"/>
      </w:pPr>
      <w:r>
        <w:rPr>
          <w:rFonts w:ascii="Times New Roman" w:hAnsi="Times New Roman"/>
          <w:b/>
          <w:sz w:val="24"/>
          <w:szCs w:val="24"/>
        </w:rPr>
        <w:t>Описание методов, использованных для сбора/селекции доказательств:</w:t>
      </w:r>
    </w:p>
    <w:p w:rsidR="003126E1" w:rsidRDefault="003F0611">
      <w:pPr>
        <w:pStyle w:val="a0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Доказательной базой для рекомендаций являются публикации, вошедшие в Кохрайновскую библиотеку, базы данных </w:t>
      </w:r>
      <w:r>
        <w:rPr>
          <w:rFonts w:ascii="Times New Roman" w:hAnsi="Times New Roman"/>
          <w:sz w:val="24"/>
          <w:szCs w:val="24"/>
          <w:lang w:val="en-US"/>
        </w:rPr>
        <w:t>EMBASE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MEDLINE</w:t>
      </w:r>
      <w:r>
        <w:rPr>
          <w:rFonts w:ascii="Times New Roman" w:hAnsi="Times New Roman"/>
          <w:sz w:val="24"/>
          <w:szCs w:val="24"/>
        </w:rPr>
        <w:t>. Глубина поиска составила 5 лет.</w:t>
      </w:r>
    </w:p>
    <w:p w:rsidR="003126E1" w:rsidRDefault="003F0611">
      <w:pPr>
        <w:pStyle w:val="a0"/>
        <w:spacing w:line="100" w:lineRule="atLeast"/>
      </w:pPr>
      <w:r>
        <w:rPr>
          <w:rFonts w:ascii="Times New Roman" w:hAnsi="Times New Roman"/>
          <w:sz w:val="24"/>
          <w:szCs w:val="24"/>
        </w:rPr>
        <w:t>Методы, использованные для оценки качества и силы доказательств:</w:t>
      </w:r>
    </w:p>
    <w:p w:rsidR="003126E1" w:rsidRDefault="003F0611">
      <w:pPr>
        <w:pStyle w:val="a0"/>
        <w:spacing w:line="100" w:lineRule="atLeast"/>
      </w:pPr>
      <w:r>
        <w:rPr>
          <w:rFonts w:ascii="Times New Roman" w:hAnsi="Times New Roman"/>
          <w:sz w:val="24"/>
          <w:szCs w:val="24"/>
        </w:rPr>
        <w:t>- Консенсус экспертов</w:t>
      </w:r>
    </w:p>
    <w:p w:rsidR="003126E1" w:rsidRDefault="003F0611">
      <w:pPr>
        <w:pStyle w:val="a0"/>
        <w:spacing w:line="100" w:lineRule="atLeast"/>
      </w:pPr>
      <w:r>
        <w:rPr>
          <w:rFonts w:ascii="Times New Roman" w:hAnsi="Times New Roman"/>
          <w:sz w:val="24"/>
          <w:szCs w:val="24"/>
        </w:rPr>
        <w:t>- Оценка зна</w:t>
      </w:r>
      <w:r>
        <w:rPr>
          <w:rFonts w:ascii="Times New Roman" w:hAnsi="Times New Roman"/>
          <w:sz w:val="24"/>
          <w:szCs w:val="24"/>
        </w:rPr>
        <w:t>чимости в соответствии с рейтинговой схемой (табл.1).</w:t>
      </w:r>
    </w:p>
    <w:p w:rsidR="003126E1" w:rsidRDefault="003126E1">
      <w:pPr>
        <w:pStyle w:val="a0"/>
        <w:spacing w:line="100" w:lineRule="atLeast"/>
      </w:pPr>
    </w:p>
    <w:p w:rsidR="003126E1" w:rsidRDefault="003F0611">
      <w:pPr>
        <w:pStyle w:val="a0"/>
        <w:spacing w:line="100" w:lineRule="atLeast"/>
      </w:pPr>
      <w:r>
        <w:rPr>
          <w:rFonts w:ascii="Times New Roman" w:hAnsi="Times New Roman"/>
          <w:b/>
          <w:sz w:val="24"/>
          <w:szCs w:val="24"/>
        </w:rPr>
        <w:t>Методы, использованные для анализа доказательств:</w:t>
      </w:r>
    </w:p>
    <w:p w:rsidR="003126E1" w:rsidRDefault="003F0611">
      <w:pPr>
        <w:pStyle w:val="a0"/>
        <w:spacing w:line="100" w:lineRule="atLeast"/>
      </w:pPr>
      <w:r>
        <w:rPr>
          <w:rFonts w:ascii="Times New Roman" w:hAnsi="Times New Roman"/>
          <w:sz w:val="24"/>
          <w:szCs w:val="24"/>
        </w:rPr>
        <w:t>- обзоры публикуемых мета-анализов;</w:t>
      </w:r>
    </w:p>
    <w:p w:rsidR="003126E1" w:rsidRDefault="003F0611">
      <w:pPr>
        <w:pStyle w:val="a0"/>
        <w:spacing w:line="100" w:lineRule="atLeast"/>
      </w:pPr>
      <w:r>
        <w:rPr>
          <w:rFonts w:ascii="Times New Roman" w:hAnsi="Times New Roman"/>
          <w:sz w:val="24"/>
          <w:szCs w:val="24"/>
        </w:rPr>
        <w:t>- систематические обзоры с таблицами доказательств.</w:t>
      </w:r>
    </w:p>
    <w:p w:rsidR="003126E1" w:rsidRDefault="003F0611">
      <w:pPr>
        <w:pStyle w:val="a0"/>
        <w:spacing w:line="100" w:lineRule="atLeast"/>
      </w:pPr>
      <w:r>
        <w:rPr>
          <w:rFonts w:ascii="Times New Roman" w:hAnsi="Times New Roman"/>
          <w:b/>
          <w:sz w:val="24"/>
          <w:szCs w:val="24"/>
        </w:rPr>
        <w:t>Описание методов, использованных для анализа доказательств:</w:t>
      </w:r>
    </w:p>
    <w:p w:rsidR="003126E1" w:rsidRDefault="003F0611">
      <w:pPr>
        <w:pStyle w:val="a0"/>
        <w:spacing w:line="100" w:lineRule="atLeast"/>
        <w:ind w:firstLine="708"/>
        <w:jc w:val="both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отборе публикаций, как потенциальных источников доказательств, использованная в каждом исследовании методология изучается для того, чтобы убедиться в ее валидности. Результат изучения влияет на уровень доказательств, присваемый публикции, что в свою очере</w:t>
      </w:r>
      <w:r>
        <w:rPr>
          <w:rFonts w:ascii="Times New Roman" w:hAnsi="Times New Roman"/>
          <w:sz w:val="24"/>
          <w:szCs w:val="24"/>
        </w:rPr>
        <w:t>дь влияет на силу вытекающих из нее рекомендаций.</w:t>
      </w:r>
    </w:p>
    <w:p w:rsidR="003126E1" w:rsidRDefault="003F0611">
      <w:pPr>
        <w:pStyle w:val="a0"/>
        <w:spacing w:line="100" w:lineRule="atLeast"/>
        <w:ind w:firstLine="708"/>
        <w:jc w:val="both"/>
      </w:pPr>
      <w:r>
        <w:rPr>
          <w:rFonts w:ascii="Times New Roman" w:hAnsi="Times New Roman"/>
          <w:sz w:val="24"/>
          <w:szCs w:val="24"/>
        </w:rPr>
        <w:t>На процессе оценки, несомненно, может сказываться и субъективный фактор. Для минимизации потенциальных ошибок каждое исследование оценивалось независимо , т.е., по меньшей мере двумя независимыми членами ра</w:t>
      </w:r>
      <w:r>
        <w:rPr>
          <w:rFonts w:ascii="Times New Roman" w:hAnsi="Times New Roman"/>
          <w:sz w:val="24"/>
          <w:szCs w:val="24"/>
        </w:rPr>
        <w:t xml:space="preserve">бочей группы. Какие-либо различия в оценках обсуждались уже всей группой в полном составе. </w:t>
      </w:r>
    </w:p>
    <w:p w:rsidR="003126E1" w:rsidRDefault="003F0611">
      <w:pPr>
        <w:pStyle w:val="a0"/>
        <w:spacing w:line="100" w:lineRule="atLeast"/>
      </w:pPr>
      <w:r>
        <w:rPr>
          <w:rFonts w:ascii="Times New Roman" w:hAnsi="Times New Roman"/>
          <w:b/>
          <w:sz w:val="24"/>
          <w:szCs w:val="24"/>
        </w:rPr>
        <w:t>Таблицы доказательств:</w:t>
      </w:r>
    </w:p>
    <w:p w:rsidR="003126E1" w:rsidRDefault="003F0611">
      <w:pPr>
        <w:pStyle w:val="a0"/>
        <w:spacing w:line="100" w:lineRule="atLeast"/>
      </w:pPr>
      <w:r>
        <w:rPr>
          <w:rFonts w:ascii="Times New Roman" w:hAnsi="Times New Roman"/>
          <w:sz w:val="24"/>
          <w:szCs w:val="24"/>
        </w:rPr>
        <w:t>Таблицы доказательств заполнялись членами рабочей группы.</w:t>
      </w:r>
    </w:p>
    <w:p w:rsidR="003126E1" w:rsidRDefault="003F0611">
      <w:pPr>
        <w:pStyle w:val="a0"/>
        <w:spacing w:line="100" w:lineRule="atLeast"/>
      </w:pPr>
      <w:r>
        <w:rPr>
          <w:rFonts w:ascii="Times New Roman" w:hAnsi="Times New Roman"/>
          <w:b/>
          <w:sz w:val="24"/>
          <w:szCs w:val="24"/>
        </w:rPr>
        <w:t>Методы, использованные для формулирования рекомендаций:</w:t>
      </w:r>
    </w:p>
    <w:p w:rsidR="003126E1" w:rsidRDefault="003F0611">
      <w:pPr>
        <w:pStyle w:val="a0"/>
        <w:spacing w:line="100" w:lineRule="atLeast"/>
      </w:pPr>
      <w:r>
        <w:rPr>
          <w:rFonts w:ascii="Times New Roman" w:hAnsi="Times New Roman"/>
          <w:sz w:val="24"/>
          <w:szCs w:val="24"/>
        </w:rPr>
        <w:t>Консенсус экспертов.</w:t>
      </w:r>
    </w:p>
    <w:p w:rsidR="003126E1" w:rsidRDefault="003F0611">
      <w:pPr>
        <w:pStyle w:val="a0"/>
        <w:spacing w:line="100" w:lineRule="atLeast"/>
      </w:pPr>
      <w:r>
        <w:rPr>
          <w:rFonts w:ascii="Times New Roman" w:hAnsi="Times New Roman"/>
          <w:b/>
          <w:sz w:val="24"/>
          <w:szCs w:val="24"/>
        </w:rPr>
        <w:t>Рейтин</w:t>
      </w:r>
      <w:r>
        <w:rPr>
          <w:rFonts w:ascii="Times New Roman" w:hAnsi="Times New Roman"/>
          <w:b/>
          <w:sz w:val="24"/>
          <w:szCs w:val="24"/>
        </w:rPr>
        <w:t>говая схема для оценки силы рекомендаций (таблица 1):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8595"/>
      </w:tblGrid>
      <w:tr w:rsidR="003126E1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8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Сила рекомендации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Сильные аргументы за применение этого метода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Убедительные аргументы за применение этого метода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Слабые аргументы за применение этого метода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8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Слабые </w:t>
            </w:r>
            <w:r>
              <w:rPr>
                <w:rFonts w:ascii="Times New Roman" w:hAnsi="Times New Roman"/>
                <w:sz w:val="24"/>
                <w:szCs w:val="24"/>
              </w:rPr>
              <w:t>аргументы против применения этого метода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Сильные аргументы против применения этого метода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Уровень доказательности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Подтверждено более чем одним рандомизированным контролируемым исследованием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Подтверждено более чем одним нерандомизированным </w:t>
            </w:r>
            <w:r>
              <w:rPr>
                <w:rFonts w:ascii="Times New Roman" w:hAnsi="Times New Roman"/>
                <w:sz w:val="24"/>
                <w:szCs w:val="24"/>
              </w:rPr>
              <w:t>клиническим исследованием; несколькими аналитическими исследованиями более, чем из одного центра;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Подтверждено мнением экспертов, клиническим опытом, описательными исследованиями, экспертными комиссиями;</w:t>
            </w:r>
          </w:p>
        </w:tc>
      </w:tr>
    </w:tbl>
    <w:p w:rsidR="003126E1" w:rsidRDefault="003126E1">
      <w:pPr>
        <w:pStyle w:val="a0"/>
        <w:spacing w:line="100" w:lineRule="atLeast"/>
      </w:pPr>
    </w:p>
    <w:p w:rsidR="003126E1" w:rsidRDefault="003F0611">
      <w:pPr>
        <w:pStyle w:val="a0"/>
        <w:spacing w:line="100" w:lineRule="atLeast"/>
      </w:pPr>
      <w:r>
        <w:rPr>
          <w:rFonts w:ascii="Times New Roman" w:hAnsi="Times New Roman"/>
          <w:b/>
          <w:sz w:val="24"/>
          <w:szCs w:val="24"/>
        </w:rPr>
        <w:t>Индикаторы доброкачественной практики (</w:t>
      </w:r>
      <w:r>
        <w:rPr>
          <w:rFonts w:ascii="Times New Roman" w:hAnsi="Times New Roman"/>
          <w:b/>
          <w:sz w:val="24"/>
          <w:szCs w:val="24"/>
          <w:lang w:val="en-US"/>
        </w:rPr>
        <w:t>Good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sz w:val="24"/>
          <w:szCs w:val="24"/>
          <w:lang w:val="en-US"/>
        </w:rPr>
        <w:t>ractice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Points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en-US"/>
        </w:rPr>
        <w:t>GPPs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126E1" w:rsidRDefault="003F0611">
      <w:pPr>
        <w:pStyle w:val="a0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ab/>
        <w:t>Рекомендуемая доброкачественная практика базируется на клиническом опыте членов рабочей группы по разработке рекомендаций.</w:t>
      </w:r>
    </w:p>
    <w:p w:rsidR="003126E1" w:rsidRDefault="003F0611">
      <w:pPr>
        <w:pStyle w:val="a0"/>
        <w:spacing w:line="100" w:lineRule="atLeast"/>
      </w:pPr>
      <w:r>
        <w:rPr>
          <w:rFonts w:ascii="Times New Roman" w:hAnsi="Times New Roman"/>
          <w:b/>
          <w:sz w:val="24"/>
          <w:szCs w:val="24"/>
        </w:rPr>
        <w:t>Экономический анализ:</w:t>
      </w:r>
    </w:p>
    <w:p w:rsidR="003126E1" w:rsidRDefault="003F0611">
      <w:pPr>
        <w:pStyle w:val="a0"/>
        <w:spacing w:line="100" w:lineRule="atLeast"/>
        <w:ind w:firstLine="708"/>
        <w:jc w:val="both"/>
      </w:pPr>
      <w:r>
        <w:rPr>
          <w:rFonts w:ascii="Times New Roman" w:hAnsi="Times New Roman"/>
          <w:sz w:val="24"/>
          <w:szCs w:val="24"/>
        </w:rPr>
        <w:t>Анализ стоимости не проводился и публикации по фармакоэкономике не анализировались.</w:t>
      </w:r>
    </w:p>
    <w:p w:rsidR="003126E1" w:rsidRDefault="003F0611">
      <w:pPr>
        <w:pStyle w:val="a0"/>
        <w:spacing w:line="100" w:lineRule="atLeast"/>
      </w:pPr>
      <w:r>
        <w:rPr>
          <w:rFonts w:ascii="Times New Roman" w:hAnsi="Times New Roman"/>
          <w:b/>
          <w:sz w:val="24"/>
          <w:szCs w:val="24"/>
        </w:rPr>
        <w:t>Метод валидизации рекомендаций:</w:t>
      </w:r>
    </w:p>
    <w:p w:rsidR="003126E1" w:rsidRDefault="003F0611">
      <w:pPr>
        <w:pStyle w:val="a0"/>
        <w:spacing w:line="100" w:lineRule="atLeast"/>
      </w:pPr>
      <w:r>
        <w:rPr>
          <w:rFonts w:ascii="Times New Roman" w:hAnsi="Times New Roman"/>
          <w:sz w:val="24"/>
          <w:szCs w:val="24"/>
        </w:rPr>
        <w:tab/>
        <w:t>- Внешняя экспертная оценка.</w:t>
      </w:r>
    </w:p>
    <w:p w:rsidR="003126E1" w:rsidRDefault="003F0611">
      <w:pPr>
        <w:pStyle w:val="a0"/>
        <w:spacing w:line="100" w:lineRule="atLeast"/>
      </w:pPr>
      <w:r>
        <w:rPr>
          <w:rFonts w:ascii="Times New Roman" w:hAnsi="Times New Roman"/>
          <w:sz w:val="24"/>
          <w:szCs w:val="24"/>
        </w:rPr>
        <w:tab/>
        <w:t>- Внутренняя экспертная оценка.</w:t>
      </w:r>
    </w:p>
    <w:p w:rsidR="003126E1" w:rsidRDefault="003F0611">
      <w:pPr>
        <w:pStyle w:val="a0"/>
        <w:spacing w:line="100" w:lineRule="atLeast"/>
      </w:pPr>
      <w:r>
        <w:rPr>
          <w:rFonts w:ascii="Times New Roman" w:hAnsi="Times New Roman"/>
          <w:sz w:val="24"/>
          <w:szCs w:val="24"/>
        </w:rPr>
        <w:t>Описание метода валидизации рекомендаций:</w:t>
      </w:r>
    </w:p>
    <w:p w:rsidR="003126E1" w:rsidRDefault="003F0611">
      <w:pPr>
        <w:pStyle w:val="a0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ab/>
        <w:t xml:space="preserve">Настоящие рекомендации в предварительной версии были рецензированы независимыми экспертами, которых попросили </w:t>
      </w:r>
      <w:r>
        <w:rPr>
          <w:rFonts w:ascii="Times New Roman" w:hAnsi="Times New Roman"/>
          <w:sz w:val="24"/>
          <w:szCs w:val="24"/>
        </w:rPr>
        <w:t>прокомментировать прежде всего то, насколько интерпретация доказательств, лежащих в основе рекомендаций, доступна для понимания.</w:t>
      </w:r>
    </w:p>
    <w:p w:rsidR="003126E1" w:rsidRDefault="003F0611">
      <w:pPr>
        <w:pStyle w:val="a0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ab/>
        <w:t>Получены комментарии со стороны врачей первичного звена и участковых педиатров в отношении доходчивости изложения рекомендаций</w:t>
      </w:r>
      <w:r>
        <w:rPr>
          <w:rFonts w:ascii="Times New Roman" w:hAnsi="Times New Roman"/>
          <w:sz w:val="24"/>
          <w:szCs w:val="24"/>
        </w:rPr>
        <w:t xml:space="preserve"> и их оценки важности рекомендаций как рабочего инструмента повседневной практики.</w:t>
      </w:r>
    </w:p>
    <w:p w:rsidR="003126E1" w:rsidRDefault="003F0611">
      <w:pPr>
        <w:pStyle w:val="a0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ab/>
        <w:t>Предварительная версия будет также направлена рецензенту, не имеющему медицинского образования, для получения комментариев с точки зрения перспектив пациентов.</w:t>
      </w:r>
    </w:p>
    <w:p w:rsidR="003126E1" w:rsidRDefault="003F0611">
      <w:pPr>
        <w:pStyle w:val="a0"/>
        <w:spacing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Консультации</w:t>
      </w:r>
      <w:r>
        <w:rPr>
          <w:rFonts w:ascii="Times New Roman" w:hAnsi="Times New Roman"/>
          <w:b/>
          <w:sz w:val="24"/>
          <w:szCs w:val="24"/>
        </w:rPr>
        <w:t xml:space="preserve"> и экспертная оценка:</w:t>
      </w:r>
    </w:p>
    <w:p w:rsidR="003126E1" w:rsidRDefault="003F0611">
      <w:pPr>
        <w:pStyle w:val="a0"/>
        <w:spacing w:line="100" w:lineRule="atLeast"/>
        <w:ind w:firstLine="708"/>
        <w:jc w:val="both"/>
      </w:pPr>
      <w:r>
        <w:rPr>
          <w:rFonts w:ascii="Times New Roman" w:hAnsi="Times New Roman"/>
          <w:sz w:val="24"/>
          <w:szCs w:val="24"/>
        </w:rPr>
        <w:t>Последние изменения в настоящих рекомендациях были представлены для дискуссии в предварительной версии на Конгрессе эндокринологов  20-22 мая 2013 г (г.Москва), на конференции Эндокринология в педиатрии (Москва, 13 декабря 2013) . Пре</w:t>
      </w:r>
      <w:r>
        <w:rPr>
          <w:rFonts w:ascii="Times New Roman" w:hAnsi="Times New Roman"/>
          <w:sz w:val="24"/>
          <w:szCs w:val="24"/>
        </w:rPr>
        <w:t>дварительная версия выставлена для широкого обсуждения на сайте ЭНЦ, для того, чтобы лица, не участвующие в конгрессе и конференциях, имели возможность принять участие в обсуждении и совершенствовании рекомендаций.</w:t>
      </w:r>
    </w:p>
    <w:p w:rsidR="003126E1" w:rsidRDefault="003F0611">
      <w:pPr>
        <w:pStyle w:val="a0"/>
        <w:spacing w:line="100" w:lineRule="atLeast"/>
        <w:ind w:firstLine="708"/>
        <w:jc w:val="both"/>
      </w:pPr>
      <w:r>
        <w:rPr>
          <w:rFonts w:ascii="Times New Roman" w:hAnsi="Times New Roman"/>
          <w:sz w:val="24"/>
          <w:szCs w:val="24"/>
        </w:rPr>
        <w:lastRenderedPageBreak/>
        <w:t>.</w:t>
      </w:r>
    </w:p>
    <w:p w:rsidR="003126E1" w:rsidRDefault="003F0611">
      <w:pPr>
        <w:pStyle w:val="a0"/>
        <w:spacing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 xml:space="preserve">Рабочая группа: </w:t>
      </w:r>
    </w:p>
    <w:p w:rsidR="003126E1" w:rsidRDefault="003F0611">
      <w:pPr>
        <w:pStyle w:val="a0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>Для окончательной реда</w:t>
      </w:r>
      <w:r>
        <w:rPr>
          <w:rFonts w:ascii="Times New Roman" w:hAnsi="Times New Roman"/>
          <w:sz w:val="24"/>
          <w:szCs w:val="24"/>
        </w:rPr>
        <w:t>кции и контроля качества рекомендации будут повторно проанализированы членами рабочей группы, с целью оценить, что все замечания и комментарии экспертов приняты во внимание, риск систематических ошибок при разработке рекомендаций сведен к минимуму.</w:t>
      </w:r>
    </w:p>
    <w:p w:rsidR="003126E1" w:rsidRDefault="003F0611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ab/>
        <w:t>Сила р</w:t>
      </w:r>
      <w:r>
        <w:rPr>
          <w:rFonts w:ascii="Times New Roman" w:hAnsi="Times New Roman"/>
          <w:sz w:val="24"/>
          <w:szCs w:val="24"/>
        </w:rPr>
        <w:t>екомендаций (А-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) приводится при изложении текста рекомендаций</w:t>
      </w:r>
    </w:p>
    <w:p w:rsidR="003126E1" w:rsidRDefault="003F0611">
      <w:pPr>
        <w:pStyle w:val="a0"/>
        <w:pageBreakBefore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Определение и этиология</w:t>
      </w:r>
    </w:p>
    <w:p w:rsidR="003126E1" w:rsidRDefault="003F0611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 Определение</w:t>
      </w:r>
    </w:p>
    <w:p w:rsidR="003126E1" w:rsidRDefault="003F0611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Гипопаратиреоз –  синдром, который проявляется гипокальцемией и обусловлен нарушением синтеза, секреции или периферического действия паратгорм</w:t>
      </w:r>
      <w:r>
        <w:rPr>
          <w:rFonts w:ascii="Times New Roman" w:hAnsi="Times New Roman" w:cs="Times New Roman"/>
          <w:sz w:val="28"/>
          <w:szCs w:val="28"/>
        </w:rPr>
        <w:t>она.</w:t>
      </w:r>
    </w:p>
    <w:p w:rsidR="003126E1" w:rsidRDefault="003126E1">
      <w:pPr>
        <w:pStyle w:val="a0"/>
        <w:spacing w:after="0" w:line="360" w:lineRule="auto"/>
        <w:ind w:firstLine="709"/>
        <w:jc w:val="both"/>
      </w:pPr>
    </w:p>
    <w:p w:rsidR="003126E1" w:rsidRDefault="003F0611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1.2. Этиология</w:t>
      </w:r>
    </w:p>
    <w:p w:rsidR="003126E1" w:rsidRDefault="003F0611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Гипопаратиреоз – этиологически гетерогенное заболевание.</w:t>
      </w:r>
    </w:p>
    <w:p w:rsidR="003126E1" w:rsidRDefault="003F0611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 детей и подростков чаще причиной гипопаратиреоза является одно из наследственных заболеваний, сопровождающихся нарушением эмбриогенеза или аутоиммунной деструкцией паращитовидн</w:t>
      </w:r>
      <w:r>
        <w:rPr>
          <w:rFonts w:ascii="Times New Roman" w:hAnsi="Times New Roman" w:cs="Times New Roman"/>
          <w:sz w:val="28"/>
          <w:szCs w:val="28"/>
        </w:rPr>
        <w:t>ых желез, а также дефектами рецепторов, обеспечивающих периферическое его действие в тканях-мишенях. Также встречается у детей и послеоперационный гипопаратиреоз как осложнение тиреоидэктомии или тотальной паратиреоидэктомии (Таб. 1).</w:t>
      </w:r>
    </w:p>
    <w:p w:rsidR="003126E1" w:rsidRDefault="003126E1">
      <w:pPr>
        <w:pStyle w:val="a0"/>
      </w:pPr>
    </w:p>
    <w:p w:rsidR="003126E1" w:rsidRDefault="003126E1">
      <w:pPr>
        <w:pStyle w:val="a0"/>
        <w:pageBreakBefore/>
      </w:pPr>
    </w:p>
    <w:p w:rsidR="003126E1" w:rsidRDefault="003F0611">
      <w:pPr>
        <w:pStyle w:val="a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 Диагностика</w:t>
      </w:r>
    </w:p>
    <w:p w:rsidR="003126E1" w:rsidRDefault="003126E1">
      <w:pPr>
        <w:pStyle w:val="a0"/>
        <w:jc w:val="both"/>
      </w:pPr>
    </w:p>
    <w:p w:rsidR="003126E1" w:rsidRDefault="003F0611">
      <w:pPr>
        <w:pStyle w:val="a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План  обследования пациента с гипокальцемией (рис. 1)</w:t>
      </w:r>
    </w:p>
    <w:p w:rsidR="003126E1" w:rsidRDefault="003F0611">
      <w:pPr>
        <w:pStyle w:val="a0"/>
        <w:jc w:val="both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этап. Первичная диагностика гипопаратиреоза</w:t>
      </w:r>
    </w:p>
    <w:p w:rsidR="003126E1" w:rsidRDefault="003F0611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проявлений гипопаратиреоза является гипокальцемия – низкий уровень ионизированного кальция в сыворотке крови. </w:t>
      </w:r>
    </w:p>
    <w:p w:rsidR="003126E1" w:rsidRDefault="003F0611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>Первичному обследованию с ц</w:t>
      </w:r>
      <w:r>
        <w:rPr>
          <w:rFonts w:ascii="Times New Roman" w:hAnsi="Times New Roman" w:cs="Times New Roman"/>
          <w:sz w:val="28"/>
          <w:szCs w:val="28"/>
        </w:rPr>
        <w:t>елью диагностики гипопаратиреоза подлежат пациенты, у которых имеются клинические проявления, характерные для гипокальцемии.</w:t>
      </w:r>
    </w:p>
    <w:p w:rsidR="003126E1" w:rsidRDefault="003F0611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Клинические симптомы гипокальцемии в основном обусловлены нарушением нервно-мышечной передачи:</w:t>
      </w:r>
    </w:p>
    <w:p w:rsidR="003126E1" w:rsidRDefault="003F0611">
      <w:pPr>
        <w:pStyle w:val="a0"/>
        <w:numPr>
          <w:ilvl w:val="0"/>
          <w:numId w:val="8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Судороги (в том числе генерализованн</w:t>
      </w:r>
      <w:r>
        <w:rPr>
          <w:rFonts w:ascii="Times New Roman" w:hAnsi="Times New Roman" w:cs="Times New Roman"/>
          <w:sz w:val="28"/>
          <w:szCs w:val="28"/>
        </w:rPr>
        <w:t>ые тонико-клонические);</w:t>
      </w:r>
    </w:p>
    <w:p w:rsidR="003126E1" w:rsidRDefault="003F0611">
      <w:pPr>
        <w:pStyle w:val="a0"/>
        <w:numPr>
          <w:ilvl w:val="0"/>
          <w:numId w:val="8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Спазмы отдельных мышц лица, кистей, карпопедальный рефлекс – «рука акушера» в виде сведения пальцев с ульнарной девиацией кисти;</w:t>
      </w:r>
    </w:p>
    <w:p w:rsidR="003126E1" w:rsidRDefault="003F0611">
      <w:pPr>
        <w:pStyle w:val="a0"/>
        <w:numPr>
          <w:ilvl w:val="0"/>
          <w:numId w:val="8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Мышечная слабость;</w:t>
      </w:r>
    </w:p>
    <w:p w:rsidR="003126E1" w:rsidRDefault="003F0611">
      <w:pPr>
        <w:pStyle w:val="a0"/>
        <w:numPr>
          <w:ilvl w:val="0"/>
          <w:numId w:val="8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Боли и парестезии в мышцах голени, стоп, предплечья кистей, лица (например, типично </w:t>
      </w:r>
      <w:r>
        <w:rPr>
          <w:rFonts w:ascii="Times New Roman" w:hAnsi="Times New Roman" w:cs="Times New Roman"/>
          <w:sz w:val="28"/>
          <w:szCs w:val="28"/>
        </w:rPr>
        <w:t>онемение вокруг рта);</w:t>
      </w:r>
    </w:p>
    <w:p w:rsidR="003126E1" w:rsidRDefault="003F0611">
      <w:pPr>
        <w:pStyle w:val="a0"/>
        <w:numPr>
          <w:ilvl w:val="0"/>
          <w:numId w:val="8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Ларингоспазм</w:t>
      </w:r>
    </w:p>
    <w:p w:rsidR="003126E1" w:rsidRDefault="003F0611">
      <w:pPr>
        <w:pStyle w:val="a0"/>
        <w:numPr>
          <w:ilvl w:val="0"/>
          <w:numId w:val="8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Нарушения сердечного ритма (синдром удлиненного </w:t>
      </w:r>
      <w:r>
        <w:rPr>
          <w:rFonts w:ascii="Times New Roman" w:hAnsi="Times New Roman" w:cs="Times New Roman"/>
          <w:sz w:val="28"/>
          <w:szCs w:val="28"/>
          <w:lang w:val="en-US"/>
        </w:rPr>
        <w:t>QT</w:t>
      </w:r>
      <w:r>
        <w:rPr>
          <w:rFonts w:ascii="Times New Roman" w:hAnsi="Times New Roman" w:cs="Times New Roman"/>
          <w:sz w:val="28"/>
          <w:szCs w:val="28"/>
        </w:rPr>
        <w:t xml:space="preserve">  и др)</w:t>
      </w:r>
    </w:p>
    <w:p w:rsidR="003126E1" w:rsidRDefault="003F0611">
      <w:pPr>
        <w:pStyle w:val="a0"/>
        <w:numPr>
          <w:ilvl w:val="0"/>
          <w:numId w:val="8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У новорожденных гипокальцемия может проявляться только плохим набором веса и обильным срыгиванием, но также может и генерализованными судорогами, апноэ и острой се</w:t>
      </w:r>
      <w:r>
        <w:rPr>
          <w:rFonts w:ascii="Times New Roman" w:hAnsi="Times New Roman" w:cs="Times New Roman"/>
          <w:sz w:val="28"/>
          <w:szCs w:val="28"/>
        </w:rPr>
        <w:t>рдечно-сосудистой недостаточностью;</w:t>
      </w:r>
    </w:p>
    <w:p w:rsidR="003126E1" w:rsidRDefault="003F0611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При осмотре могут определяться:</w:t>
      </w:r>
    </w:p>
    <w:p w:rsidR="003126E1" w:rsidRDefault="003F0611">
      <w:pPr>
        <w:pStyle w:val="a0"/>
        <w:numPr>
          <w:ilvl w:val="0"/>
          <w:numId w:val="8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Симптом Хвостека – сокращение мимических мышц при постукивании над верхнечелюстной дугой вдоль проекции лицевого нерва;</w:t>
      </w:r>
    </w:p>
    <w:p w:rsidR="003126E1" w:rsidRDefault="003F0611">
      <w:pPr>
        <w:pStyle w:val="a0"/>
        <w:numPr>
          <w:ilvl w:val="0"/>
          <w:numId w:val="8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Симптом Труссо – сдавление манжетой тонометра в области плеча (на 5 </w:t>
      </w:r>
      <w:r>
        <w:rPr>
          <w:rFonts w:ascii="Times New Roman" w:hAnsi="Times New Roman" w:cs="Times New Roman"/>
          <w:sz w:val="28"/>
          <w:szCs w:val="28"/>
        </w:rPr>
        <w:t>– 15 мм рт ст выше систолического) в течение 2-3 минут провоцирует карпопедальный спазм (сведение пальцев с ульнарной девиацией кисти)</w:t>
      </w:r>
    </w:p>
    <w:p w:rsidR="003126E1" w:rsidRDefault="003F0611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При длительно существующей гипокальцемии при первичной диагностике могут обнаруживаться осложнения:</w:t>
      </w:r>
    </w:p>
    <w:p w:rsidR="003126E1" w:rsidRDefault="003F0611">
      <w:pPr>
        <w:pStyle w:val="a0"/>
        <w:numPr>
          <w:ilvl w:val="1"/>
          <w:numId w:val="7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Кальцинаты в области </w:t>
      </w:r>
      <w:r>
        <w:rPr>
          <w:rFonts w:ascii="Times New Roman" w:hAnsi="Times New Roman" w:cs="Times New Roman"/>
          <w:sz w:val="28"/>
          <w:szCs w:val="28"/>
        </w:rPr>
        <w:t>базальных ганглиев (синдром Фара), выявляется при КТ головного мозга</w:t>
      </w:r>
    </w:p>
    <w:p w:rsidR="003126E1" w:rsidRDefault="003F0611">
      <w:pPr>
        <w:pStyle w:val="a0"/>
        <w:numPr>
          <w:ilvl w:val="1"/>
          <w:numId w:val="7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Катаракта</w:t>
      </w:r>
    </w:p>
    <w:p w:rsidR="003126E1" w:rsidRDefault="003F0611">
      <w:pPr>
        <w:pStyle w:val="a0"/>
        <w:numPr>
          <w:ilvl w:val="1"/>
          <w:numId w:val="7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Гипоплазия зубной эмали (у детей младшего возраста)</w:t>
      </w:r>
    </w:p>
    <w:p w:rsidR="003126E1" w:rsidRDefault="003126E1">
      <w:pPr>
        <w:pStyle w:val="a0"/>
        <w:spacing w:after="0" w:line="360" w:lineRule="auto"/>
        <w:ind w:left="1800"/>
      </w:pPr>
    </w:p>
    <w:p w:rsidR="003126E1" w:rsidRDefault="003F0611">
      <w:pPr>
        <w:pStyle w:val="a0"/>
        <w:spacing w:line="360" w:lineRule="auto"/>
        <w:ind w:left="36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Ни одно из клинических проявлений не является строго специфическим критерием диагностики гипопаратиреоза и требует лаборатор</w:t>
      </w:r>
      <w:r>
        <w:rPr>
          <w:rFonts w:ascii="Times New Roman" w:hAnsi="Times New Roman" w:cs="Times New Roman"/>
          <w:b/>
          <w:sz w:val="28"/>
          <w:szCs w:val="28"/>
        </w:rPr>
        <w:t>ного подтверждения. Любой из вышеперечисленных симптомов является основанием для измерения кальция в сыворотке крови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BII</w:t>
      </w:r>
      <w:r>
        <w:rPr>
          <w:rFonts w:ascii="Times New Roman" w:hAnsi="Times New Roman" w:cs="Times New Roman"/>
          <w:b/>
          <w:sz w:val="28"/>
          <w:szCs w:val="28"/>
        </w:rPr>
        <w:t xml:space="preserve">]. </w:t>
      </w:r>
    </w:p>
    <w:p w:rsidR="003126E1" w:rsidRDefault="003126E1">
      <w:pPr>
        <w:pStyle w:val="a0"/>
      </w:pPr>
    </w:p>
    <w:p w:rsidR="003126E1" w:rsidRDefault="003126E1">
      <w:pPr>
        <w:pStyle w:val="a0"/>
        <w:pageBreakBefore/>
        <w:spacing w:line="360" w:lineRule="auto"/>
        <w:ind w:left="360"/>
        <w:jc w:val="both"/>
      </w:pPr>
    </w:p>
    <w:p w:rsidR="003126E1" w:rsidRDefault="003F0611">
      <w:pPr>
        <w:pStyle w:val="a0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Данные анамнеза</w:t>
      </w:r>
    </w:p>
    <w:p w:rsidR="003126E1" w:rsidRDefault="003F0611">
      <w:pPr>
        <w:pStyle w:val="ae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Наличие у пациента заболевания, одним из компонентов которого может быть гипопаратиреоз</w:t>
      </w:r>
    </w:p>
    <w:p w:rsidR="003126E1" w:rsidRDefault="003F0611">
      <w:pPr>
        <w:pStyle w:val="ae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Хирургические </w:t>
      </w:r>
      <w:r>
        <w:rPr>
          <w:rFonts w:ascii="Times New Roman" w:hAnsi="Times New Roman" w:cs="Times New Roman"/>
          <w:sz w:val="28"/>
          <w:szCs w:val="28"/>
        </w:rPr>
        <w:t>вмешательства в области шеи</w:t>
      </w:r>
    </w:p>
    <w:p w:rsidR="003126E1" w:rsidRDefault="003F0611">
      <w:pPr>
        <w:pStyle w:val="ae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Наличие близких родственников, страдающих наследственными  заболеваниями, одним из компонентов которого может быть гипопаратиреоз</w:t>
      </w:r>
    </w:p>
    <w:p w:rsidR="003126E1" w:rsidRDefault="003126E1">
      <w:pPr>
        <w:pStyle w:val="ae"/>
        <w:spacing w:line="360" w:lineRule="auto"/>
        <w:ind w:left="1080"/>
        <w:jc w:val="both"/>
      </w:pPr>
    </w:p>
    <w:p w:rsidR="003126E1" w:rsidRDefault="003F0611">
      <w:pPr>
        <w:pStyle w:val="a0"/>
        <w:spacing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Пациенты без каких-либо клинических проявлений гипопаратиреоза, но имеющие заболевание, компонент</w:t>
      </w:r>
      <w:r>
        <w:rPr>
          <w:rFonts w:ascii="Times New Roman" w:hAnsi="Times New Roman" w:cs="Times New Roman"/>
          <w:sz w:val="28"/>
          <w:szCs w:val="28"/>
        </w:rPr>
        <w:t xml:space="preserve">ом которого может быть гипопаратиреоз, а также родственникам с такими заболеваниями необходимо генетическое консультирование, специфическое обследование, включающие генетическую диагностику и/или проведение уточняющей диагностики на наличие субклинической </w:t>
      </w:r>
      <w:r>
        <w:rPr>
          <w:rFonts w:ascii="Times New Roman" w:hAnsi="Times New Roman" w:cs="Times New Roman"/>
          <w:sz w:val="28"/>
          <w:szCs w:val="28"/>
        </w:rPr>
        <w:t xml:space="preserve">гиопокальцемии  (см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диагностики).</w:t>
      </w:r>
    </w:p>
    <w:p w:rsidR="003126E1" w:rsidRDefault="003126E1">
      <w:pPr>
        <w:pStyle w:val="a0"/>
        <w:spacing w:line="360" w:lineRule="auto"/>
        <w:ind w:firstLine="360"/>
        <w:jc w:val="both"/>
      </w:pPr>
    </w:p>
    <w:p w:rsidR="003126E1" w:rsidRDefault="003F0611">
      <w:pPr>
        <w:pStyle w:val="a0"/>
      </w:pPr>
      <w:r>
        <w:rPr>
          <w:rFonts w:ascii="Times New Roman" w:hAnsi="Times New Roman" w:cs="Times New Roman"/>
          <w:sz w:val="28"/>
          <w:szCs w:val="28"/>
        </w:rPr>
        <w:t>На первом этапе обследования необходимо проанализировать следующие лабораторные показатели [</w:t>
      </w:r>
      <w:r>
        <w:rPr>
          <w:rFonts w:ascii="Times New Roman" w:hAnsi="Times New Roman" w:cs="Times New Roman"/>
          <w:sz w:val="28"/>
          <w:szCs w:val="28"/>
          <w:lang w:val="en-US"/>
        </w:rPr>
        <w:t>BII</w:t>
      </w:r>
      <w:r>
        <w:rPr>
          <w:rFonts w:ascii="Times New Roman" w:hAnsi="Times New Roman" w:cs="Times New Roman"/>
          <w:sz w:val="28"/>
          <w:szCs w:val="28"/>
        </w:rPr>
        <w:t>]:</w:t>
      </w:r>
    </w:p>
    <w:p w:rsidR="003126E1" w:rsidRDefault="003F0611">
      <w:pPr>
        <w:pStyle w:val="a0"/>
        <w:numPr>
          <w:ilvl w:val="0"/>
          <w:numId w:val="9"/>
        </w:numPr>
        <w:spacing w:after="0" w:line="360" w:lineRule="auto"/>
      </w:pPr>
      <w:r>
        <w:rPr>
          <w:rFonts w:ascii="Times New Roman" w:hAnsi="Times New Roman" w:cs="Times New Roman"/>
          <w:i/>
          <w:sz w:val="28"/>
          <w:szCs w:val="28"/>
        </w:rPr>
        <w:t>Кальций общий в сыворотке крови</w:t>
      </w:r>
    </w:p>
    <w:p w:rsidR="003126E1" w:rsidRDefault="003F0611">
      <w:pPr>
        <w:pStyle w:val="a0"/>
        <w:numPr>
          <w:ilvl w:val="0"/>
          <w:numId w:val="9"/>
        </w:numPr>
        <w:spacing w:after="0" w:line="360" w:lineRule="auto"/>
      </w:pPr>
      <w:r>
        <w:rPr>
          <w:rFonts w:ascii="Times New Roman" w:hAnsi="Times New Roman" w:cs="Times New Roman"/>
          <w:i/>
          <w:sz w:val="28"/>
          <w:szCs w:val="28"/>
        </w:rPr>
        <w:t>Кальций ионизированный в сыворотке крови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i/>
          <w:sz w:val="28"/>
          <w:szCs w:val="28"/>
        </w:rPr>
        <w:t xml:space="preserve"> ммоль/л +0,02*(40 – альбумин г/л)</w:t>
      </w:r>
    </w:p>
    <w:p w:rsidR="003126E1" w:rsidRDefault="003F0611">
      <w:pPr>
        <w:pStyle w:val="a0"/>
        <w:numPr>
          <w:ilvl w:val="0"/>
          <w:numId w:val="9"/>
        </w:numPr>
        <w:spacing w:after="0" w:line="360" w:lineRule="auto"/>
      </w:pPr>
      <w:r>
        <w:rPr>
          <w:rFonts w:ascii="Times New Roman" w:hAnsi="Times New Roman" w:cs="Times New Roman"/>
          <w:i/>
          <w:sz w:val="28"/>
          <w:szCs w:val="28"/>
        </w:rPr>
        <w:t>Фосф</w:t>
      </w:r>
      <w:r>
        <w:rPr>
          <w:rFonts w:ascii="Times New Roman" w:hAnsi="Times New Roman" w:cs="Times New Roman"/>
          <w:i/>
          <w:sz w:val="28"/>
          <w:szCs w:val="28"/>
        </w:rPr>
        <w:t>ор органический в сыворотке крови</w:t>
      </w:r>
    </w:p>
    <w:p w:rsidR="003126E1" w:rsidRDefault="003F0611">
      <w:pPr>
        <w:pStyle w:val="a0"/>
        <w:numPr>
          <w:ilvl w:val="0"/>
          <w:numId w:val="9"/>
        </w:numPr>
        <w:spacing w:after="0" w:line="360" w:lineRule="auto"/>
      </w:pPr>
      <w:r>
        <w:rPr>
          <w:rFonts w:ascii="Times New Roman" w:hAnsi="Times New Roman" w:cs="Times New Roman"/>
          <w:i/>
          <w:sz w:val="28"/>
          <w:szCs w:val="28"/>
        </w:rPr>
        <w:t>Паратгормон</w:t>
      </w:r>
    </w:p>
    <w:p w:rsidR="003126E1" w:rsidRDefault="003F0611">
      <w:pPr>
        <w:pStyle w:val="a0"/>
        <w:numPr>
          <w:ilvl w:val="0"/>
          <w:numId w:val="9"/>
        </w:numPr>
        <w:spacing w:after="0" w:line="360" w:lineRule="auto"/>
      </w:pPr>
      <w:r>
        <w:rPr>
          <w:rFonts w:ascii="Times New Roman" w:hAnsi="Times New Roman" w:cs="Times New Roman"/>
          <w:i/>
          <w:sz w:val="28"/>
          <w:szCs w:val="28"/>
        </w:rPr>
        <w:t>Щелочная фосфатаза</w:t>
      </w:r>
    </w:p>
    <w:p w:rsidR="003126E1" w:rsidRDefault="003F0611">
      <w:pPr>
        <w:pStyle w:val="a0"/>
        <w:numPr>
          <w:ilvl w:val="0"/>
          <w:numId w:val="9"/>
        </w:numPr>
        <w:spacing w:after="0" w:line="360" w:lineRule="auto"/>
      </w:pPr>
      <w:r>
        <w:rPr>
          <w:rFonts w:ascii="Times New Roman" w:hAnsi="Times New Roman" w:cs="Times New Roman"/>
          <w:i/>
          <w:sz w:val="28"/>
          <w:szCs w:val="28"/>
        </w:rPr>
        <w:t>Эксрекция кальция с мочой = кальций в моче/(креатинин в моче*креатинин в плазме)</w:t>
      </w:r>
    </w:p>
    <w:p w:rsidR="003126E1" w:rsidRDefault="003F0611">
      <w:pPr>
        <w:pStyle w:val="a0"/>
        <w:numPr>
          <w:ilvl w:val="0"/>
          <w:numId w:val="9"/>
        </w:numPr>
        <w:spacing w:after="0" w:line="360" w:lineRule="auto"/>
      </w:pPr>
      <w:r>
        <w:rPr>
          <w:rFonts w:ascii="Times New Roman" w:hAnsi="Times New Roman" w:cs="Times New Roman"/>
          <w:i/>
          <w:sz w:val="28"/>
          <w:szCs w:val="28"/>
        </w:rPr>
        <w:t>25(OH)D</w:t>
      </w:r>
    </w:p>
    <w:p w:rsidR="003126E1" w:rsidRDefault="003F0611">
      <w:pPr>
        <w:pStyle w:val="a0"/>
        <w:numPr>
          <w:ilvl w:val="0"/>
          <w:numId w:val="9"/>
        </w:numPr>
        <w:spacing w:after="0" w:line="360" w:lineRule="auto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Магний</w:t>
      </w:r>
    </w:p>
    <w:p w:rsidR="003126E1" w:rsidRDefault="003F0611">
      <w:pPr>
        <w:pStyle w:val="a0"/>
        <w:numPr>
          <w:ilvl w:val="0"/>
          <w:numId w:val="9"/>
        </w:numPr>
        <w:spacing w:after="0" w:line="360" w:lineRule="auto"/>
      </w:pPr>
      <w:r>
        <w:rPr>
          <w:rFonts w:ascii="Times New Roman" w:hAnsi="Times New Roman" w:cs="Times New Roman"/>
          <w:i/>
          <w:sz w:val="28"/>
          <w:szCs w:val="28"/>
        </w:rPr>
        <w:t>Экскрекция цАМФ с мочой (тест Элсворса-Говарда)*</w:t>
      </w:r>
    </w:p>
    <w:p w:rsidR="003126E1" w:rsidRDefault="003F0611">
      <w:pPr>
        <w:pStyle w:val="a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*не обязателен, имеет значение для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типа псевдогипопаратиреоза</w:t>
      </w:r>
    </w:p>
    <w:p w:rsidR="003126E1" w:rsidRDefault="003F0611">
      <w:pPr>
        <w:pStyle w:val="a0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Основные инструментальные методы исследования для диагностики причины и осложнений гипокальцемических состояний:</w:t>
      </w:r>
    </w:p>
    <w:p w:rsidR="003126E1" w:rsidRDefault="003F0611">
      <w:pPr>
        <w:pStyle w:val="a0"/>
        <w:numPr>
          <w:ilvl w:val="0"/>
          <w:numId w:val="10"/>
        </w:numPr>
        <w:spacing w:after="0" w:line="360" w:lineRule="auto"/>
      </w:pPr>
      <w:r>
        <w:rPr>
          <w:rFonts w:ascii="Times New Roman" w:hAnsi="Times New Roman" w:cs="Times New Roman"/>
          <w:i/>
          <w:sz w:val="28"/>
          <w:szCs w:val="28"/>
        </w:rPr>
        <w:t>ЭКГ</w:t>
      </w:r>
    </w:p>
    <w:p w:rsidR="003126E1" w:rsidRDefault="003F0611">
      <w:pPr>
        <w:pStyle w:val="a0"/>
        <w:numPr>
          <w:ilvl w:val="0"/>
          <w:numId w:val="10"/>
        </w:numPr>
        <w:spacing w:after="0" w:line="360" w:lineRule="auto"/>
      </w:pPr>
      <w:r>
        <w:rPr>
          <w:rFonts w:ascii="Times New Roman" w:hAnsi="Times New Roman" w:cs="Times New Roman"/>
          <w:i/>
          <w:sz w:val="28"/>
          <w:szCs w:val="28"/>
        </w:rPr>
        <w:t>Рентгенография черепа, грудной клетки, костей таза, нижних конечностей;*</w:t>
      </w:r>
    </w:p>
    <w:p w:rsidR="003126E1" w:rsidRDefault="003F0611">
      <w:pPr>
        <w:pStyle w:val="a0"/>
        <w:numPr>
          <w:ilvl w:val="0"/>
          <w:numId w:val="10"/>
        </w:numPr>
        <w:spacing w:after="0" w:line="360" w:lineRule="auto"/>
      </w:pPr>
      <w:r>
        <w:rPr>
          <w:rFonts w:ascii="Times New Roman" w:hAnsi="Times New Roman" w:cs="Times New Roman"/>
          <w:i/>
          <w:sz w:val="28"/>
          <w:szCs w:val="28"/>
        </w:rPr>
        <w:t>Офтальмологический осмотр;*</w:t>
      </w:r>
    </w:p>
    <w:p w:rsidR="003126E1" w:rsidRDefault="003F0611">
      <w:pPr>
        <w:pStyle w:val="a0"/>
        <w:numPr>
          <w:ilvl w:val="0"/>
          <w:numId w:val="10"/>
        </w:numPr>
        <w:spacing w:after="0" w:line="360" w:lineRule="auto"/>
      </w:pPr>
      <w:r>
        <w:rPr>
          <w:rFonts w:ascii="Times New Roman" w:hAnsi="Times New Roman" w:cs="Times New Roman"/>
          <w:i/>
          <w:sz w:val="28"/>
          <w:szCs w:val="28"/>
        </w:rPr>
        <w:t xml:space="preserve">КТ </w:t>
      </w:r>
      <w:r>
        <w:rPr>
          <w:rFonts w:ascii="Times New Roman" w:hAnsi="Times New Roman" w:cs="Times New Roman"/>
          <w:i/>
          <w:sz w:val="28"/>
          <w:szCs w:val="28"/>
        </w:rPr>
        <w:t>головного мозга;*</w:t>
      </w:r>
    </w:p>
    <w:p w:rsidR="003126E1" w:rsidRDefault="003F0611">
      <w:pPr>
        <w:pStyle w:val="a0"/>
        <w:spacing w:line="360" w:lineRule="auto"/>
        <w:ind w:left="360"/>
      </w:pPr>
      <w:r>
        <w:rPr>
          <w:rFonts w:ascii="Times New Roman" w:hAnsi="Times New Roman" w:cs="Times New Roman"/>
          <w:sz w:val="28"/>
          <w:szCs w:val="28"/>
        </w:rPr>
        <w:t>*не относятся к экстренным диагностическим мероприятиям</w:t>
      </w:r>
    </w:p>
    <w:p w:rsidR="003126E1" w:rsidRDefault="003F0611">
      <w:pPr>
        <w:pStyle w:val="a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BIII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3126E1" w:rsidRDefault="003126E1">
      <w:pPr>
        <w:pStyle w:val="a0"/>
      </w:pPr>
    </w:p>
    <w:p w:rsidR="003126E1" w:rsidRDefault="003126E1">
      <w:pPr>
        <w:pStyle w:val="ae"/>
        <w:pageBreakBefore/>
        <w:spacing w:line="360" w:lineRule="auto"/>
        <w:ind w:left="1069"/>
        <w:jc w:val="both"/>
      </w:pPr>
    </w:p>
    <w:p w:rsidR="003126E1" w:rsidRDefault="003F0611">
      <w:pPr>
        <w:pStyle w:val="4"/>
        <w:jc w:val="center"/>
      </w:pPr>
      <w:r>
        <w:rPr>
          <w:rFonts w:ascii="Times New Roman" w:hAnsi="Times New Roman"/>
          <w:sz w:val="28"/>
          <w:szCs w:val="28"/>
        </w:rPr>
        <w:t>Оценка результатов лабораторного обследования</w:t>
      </w:r>
    </w:p>
    <w:p w:rsidR="003126E1" w:rsidRDefault="003126E1">
      <w:pPr>
        <w:pStyle w:val="a0"/>
      </w:pPr>
    </w:p>
    <w:p w:rsidR="003126E1" w:rsidRDefault="003F0611">
      <w:pPr>
        <w:pStyle w:val="af"/>
      </w:pPr>
      <w:r>
        <w:rPr>
          <w:sz w:val="28"/>
          <w:szCs w:val="28"/>
        </w:rPr>
        <w:t>Низкий уровень кальция на фоне низкого уровня фосфора в крови не характерно для гипопаратиреоза и может быть следствием дефи</w:t>
      </w:r>
      <w:r>
        <w:rPr>
          <w:sz w:val="28"/>
          <w:szCs w:val="28"/>
        </w:rPr>
        <w:t xml:space="preserve">цита витамина Д, мальабсорбции, приема ряда медицинских препаратов (противосудорожные, бисфосфонаты, кальцитонин, химиотерапевтические препараты, др), хронических заболеваний печени. </w:t>
      </w:r>
    </w:p>
    <w:p w:rsidR="003126E1" w:rsidRDefault="003F0611">
      <w:pPr>
        <w:pStyle w:val="af"/>
      </w:pPr>
      <w:r>
        <w:rPr>
          <w:sz w:val="28"/>
          <w:szCs w:val="28"/>
        </w:rPr>
        <w:t>Низкий уровень кальция в сочетании с  высоким уровнем фосфора в крови яв</w:t>
      </w:r>
      <w:r>
        <w:rPr>
          <w:sz w:val="28"/>
          <w:szCs w:val="28"/>
        </w:rPr>
        <w:t xml:space="preserve">ляется диагностическим критерием гипопаратиреоза. </w:t>
      </w:r>
    </w:p>
    <w:p w:rsidR="003126E1" w:rsidRDefault="003F0611">
      <w:pPr>
        <w:pStyle w:val="af"/>
      </w:pPr>
      <w:r>
        <w:rPr>
          <w:sz w:val="28"/>
          <w:szCs w:val="28"/>
        </w:rPr>
        <w:t>Уровень фосфора в моче при гипопаратиреозе, напротив, снижен, что отражает дефицит ПТГ, который в норме усиливает в почках экскрецию фосфора. Низкий уровень ПТГ при низком кальции и высоком фосфоре в крови</w:t>
      </w:r>
      <w:r>
        <w:rPr>
          <w:sz w:val="28"/>
          <w:szCs w:val="28"/>
        </w:rPr>
        <w:t xml:space="preserve"> и низком фосфоре в моче свидетельствует о гипопаратиреозе в результате дефекта синтеза или секреции ПТГ. Высокий уровень ПТГ , напротив, характерен для резистентности к паратгормону – для псевдогипопаратиреоза. </w:t>
      </w:r>
    </w:p>
    <w:p w:rsidR="003126E1" w:rsidRDefault="003F0611">
      <w:pPr>
        <w:pStyle w:val="af"/>
      </w:pPr>
      <w:r>
        <w:rPr>
          <w:sz w:val="28"/>
          <w:szCs w:val="28"/>
        </w:rPr>
        <w:t>Если фосфор в моче повышен соответственно в</w:t>
      </w:r>
      <w:r>
        <w:rPr>
          <w:sz w:val="28"/>
          <w:szCs w:val="28"/>
        </w:rPr>
        <w:t>ысокому уровню фосфора крови, то это означает, что паратгормон работает нормально (нет гипопаратиреоза), и указывает на наличие источника избыточного поступления фосфора в организм (прием препаратов фосфора, распад опухоли, рабдомиолиз). Гипокальцемия и ги</w:t>
      </w:r>
      <w:r>
        <w:rPr>
          <w:sz w:val="28"/>
          <w:szCs w:val="28"/>
        </w:rPr>
        <w:t>перфосфатемия с очень высоким уровнем креатинина  и повышенным уровнем паратгормона свидетельствует о наличии патологии почек с развитием хронической почечной недостаточности (см рис 1.).</w:t>
      </w:r>
    </w:p>
    <w:p w:rsidR="003126E1" w:rsidRDefault="003F0611">
      <w:pPr>
        <w:pStyle w:val="a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 пациентов с установленным гипопаратиреозом дальнейшее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направлено на уточняющую диагностику конкретной нозологической формы.</w:t>
      </w:r>
    </w:p>
    <w:p w:rsidR="003126E1" w:rsidRDefault="003126E1">
      <w:pPr>
        <w:pStyle w:val="af"/>
      </w:pPr>
    </w:p>
    <w:p w:rsidR="003126E1" w:rsidRDefault="003F0611">
      <w:pPr>
        <w:pStyle w:val="af"/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 этап. Диагностика нозологической формы.</w:t>
      </w:r>
    </w:p>
    <w:p w:rsidR="003126E1" w:rsidRDefault="003F0611">
      <w:pPr>
        <w:pStyle w:val="af"/>
      </w:pPr>
      <w:r>
        <w:rPr>
          <w:sz w:val="28"/>
          <w:szCs w:val="28"/>
        </w:rPr>
        <w:t>Практически всегда гипопаратиреоз у детей является проявлением редкого наследственного заболевания (за исключением послеоперацион</w:t>
      </w:r>
      <w:r>
        <w:rPr>
          <w:sz w:val="28"/>
          <w:szCs w:val="28"/>
        </w:rPr>
        <w:t>ного гипопаратиреоза). Установить причину развития гипопаратиреоза и определить наследственный синдром необходимо, чтобы правильно выбрать дальнейшую тактику ведения пациента, определить прогноз заболевания  и возможность семейного консультирования.</w:t>
      </w:r>
    </w:p>
    <w:p w:rsidR="003126E1" w:rsidRDefault="003F0611">
      <w:pPr>
        <w:pStyle w:val="af"/>
      </w:pPr>
      <w:r>
        <w:rPr>
          <w:sz w:val="28"/>
          <w:szCs w:val="28"/>
        </w:rPr>
        <w:t>Извест</w:t>
      </w:r>
      <w:r>
        <w:rPr>
          <w:sz w:val="28"/>
          <w:szCs w:val="28"/>
        </w:rPr>
        <w:t>ные на сегодняшний день синдромы, которые проявляются гипопаратиреозом, суммированы в таблице 1.</w:t>
      </w:r>
    </w:p>
    <w:p w:rsidR="003126E1" w:rsidRDefault="003F0611">
      <w:pPr>
        <w:pStyle w:val="a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Анамнестические данные  (в том числе тщательно собранный семейный анамнез)  и фенотипические признаки при внимательном осмотре могут служить хорошей диагностич</w:t>
      </w:r>
      <w:r>
        <w:rPr>
          <w:rFonts w:ascii="Times New Roman" w:hAnsi="Times New Roman" w:cs="Times New Roman"/>
          <w:sz w:val="28"/>
          <w:szCs w:val="28"/>
        </w:rPr>
        <w:t>еской подсказкой.</w:t>
      </w:r>
    </w:p>
    <w:p w:rsidR="003126E1" w:rsidRDefault="003F0611">
      <w:pPr>
        <w:pStyle w:val="ae"/>
        <w:numPr>
          <w:ilvl w:val="0"/>
          <w:numId w:val="14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Хирургическое лечение в области шеи, щитовидной железы говорит о приобретенном послеоперационном гипопапатиреозе и позволяет не проводить дальнейший диагностический поиск.</w:t>
      </w:r>
    </w:p>
    <w:p w:rsidR="003126E1" w:rsidRDefault="003F0611">
      <w:pPr>
        <w:pStyle w:val="ae"/>
        <w:numPr>
          <w:ilvl w:val="0"/>
          <w:numId w:val="12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Самой частой причиной гипопаратиреоза у детей после трех лет является аутоиммунное поражение как проявление кандидо-полиэдокринного синдрома – аутоиммунного полигландулярного синдрома 1 типа (АПС 1 типа). Выявление других компонентов АПС 1 типа – хроническ</w:t>
      </w:r>
      <w:r>
        <w:rPr>
          <w:rFonts w:ascii="Times New Roman" w:hAnsi="Times New Roman" w:cs="Times New Roman"/>
          <w:sz w:val="28"/>
          <w:szCs w:val="28"/>
        </w:rPr>
        <w:t>ого кандидоза слизистых, онихомикоза, надпочечниковой недостаточности, алопеции, витилиго и др – является прямым указанием на наличие этого заболевания. Но даже при отсутствии других компонентов манифестация гипопаратиреоза у ребенка после трех лет являетс</w:t>
      </w:r>
      <w:r>
        <w:rPr>
          <w:rFonts w:ascii="Times New Roman" w:hAnsi="Times New Roman" w:cs="Times New Roman"/>
          <w:sz w:val="28"/>
          <w:szCs w:val="28"/>
        </w:rPr>
        <w:t xml:space="preserve">я поводом для исключения АПС 1 типа и проведения генетической или иммунологической диагностики (исследование на наличие мутаций в гене </w:t>
      </w:r>
      <w:r>
        <w:rPr>
          <w:rFonts w:ascii="Times New Roman" w:hAnsi="Times New Roman" w:cs="Times New Roman"/>
          <w:sz w:val="28"/>
          <w:szCs w:val="28"/>
          <w:lang w:val="en-US"/>
        </w:rPr>
        <w:t>AIRE</w:t>
      </w:r>
      <w:r>
        <w:rPr>
          <w:rFonts w:ascii="Times New Roman" w:hAnsi="Times New Roman" w:cs="Times New Roman"/>
          <w:sz w:val="28"/>
          <w:szCs w:val="28"/>
        </w:rPr>
        <w:t xml:space="preserve"> или специфических антител к интерферону-омега). </w:t>
      </w:r>
    </w:p>
    <w:p w:rsidR="003126E1" w:rsidRDefault="003F0611">
      <w:pPr>
        <w:pStyle w:val="ae"/>
        <w:numPr>
          <w:ilvl w:val="0"/>
          <w:numId w:val="12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Характерными признаками синдрома Ди Джорджа являются: гипоплазия ни</w:t>
      </w:r>
      <w:r>
        <w:rPr>
          <w:rFonts w:ascii="Times New Roman" w:hAnsi="Times New Roman" w:cs="Times New Roman"/>
          <w:sz w:val="28"/>
          <w:szCs w:val="28"/>
        </w:rPr>
        <w:t xml:space="preserve">жней челюсти, гипертелоризм, короткий фильтр, низко посаженные ушные раковины, расщелина верхнего неба, пороки сердца (тетрада Фалло, пороки крупных сосудов и др), врожденный иммунодефицит (Т-клеточного звена) </w:t>
      </w:r>
    </w:p>
    <w:p w:rsidR="003126E1" w:rsidRDefault="003F0611">
      <w:pPr>
        <w:pStyle w:val="ae"/>
        <w:numPr>
          <w:ilvl w:val="0"/>
          <w:numId w:val="12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Характерными признаками псевдогипопаратиреоза</w:t>
      </w:r>
      <w:r>
        <w:rPr>
          <w:rFonts w:ascii="Times New Roman" w:hAnsi="Times New Roman" w:cs="Times New Roman"/>
          <w:sz w:val="28"/>
          <w:szCs w:val="28"/>
        </w:rPr>
        <w:t xml:space="preserve"> 1а являются следующие фенотипические особенности: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ожирение, лунообразное лицо, низкорослость, задержка умственного развития,  брахидактилия (укорочение 4 и 5 метакарпальных и метатарзальных костей), подкожные кальцификаты, гипотиреоз (резистентность к ТТГ</w:t>
      </w:r>
      <w:r>
        <w:rPr>
          <w:rFonts w:ascii="Times New Roman" w:hAnsi="Times New Roman" w:cs="Times New Roman"/>
          <w:sz w:val="28"/>
          <w:szCs w:val="28"/>
        </w:rPr>
        <w:t>), гипогонадизм (резистентность к гонадотропин-рилизинг гормону), дефицит гормона роста (резистентность к соматолиберину);</w:t>
      </w:r>
    </w:p>
    <w:p w:rsidR="003126E1" w:rsidRDefault="003F0611">
      <w:pPr>
        <w:pStyle w:val="ae"/>
        <w:numPr>
          <w:ilvl w:val="0"/>
          <w:numId w:val="12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Наличие наружной офтальмоплегии, птоза, кардиомиопатии требует в первую очередь исключения синдрома Кернса-Сейра, относящегося к груп</w:t>
      </w:r>
      <w:r>
        <w:rPr>
          <w:rFonts w:ascii="Times New Roman" w:hAnsi="Times New Roman" w:cs="Times New Roman"/>
          <w:sz w:val="28"/>
          <w:szCs w:val="28"/>
        </w:rPr>
        <w:t>пе митохондриальных болезней;</w:t>
      </w:r>
    </w:p>
    <w:p w:rsidR="003126E1" w:rsidRDefault="003F0611">
      <w:pPr>
        <w:pStyle w:val="ae"/>
        <w:numPr>
          <w:ilvl w:val="0"/>
          <w:numId w:val="12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Выявление высокого уровня кальция в моче (гиперкальциурии), высокого кальций-креатининового индекса свидетельствует о дефекте кальций-чувствительного рецептора </w:t>
      </w:r>
      <w:r>
        <w:rPr>
          <w:rFonts w:ascii="Times New Roman" w:hAnsi="Times New Roman" w:cs="Times New Roman"/>
          <w:sz w:val="28"/>
          <w:szCs w:val="28"/>
          <w:lang w:val="en-US"/>
        </w:rPr>
        <w:t>CASR</w:t>
      </w:r>
      <w:r>
        <w:rPr>
          <w:rFonts w:ascii="Times New Roman" w:hAnsi="Times New Roman" w:cs="Times New Roman"/>
          <w:sz w:val="28"/>
          <w:szCs w:val="28"/>
        </w:rPr>
        <w:t xml:space="preserve"> (активирующие мутации в </w:t>
      </w:r>
      <w:r>
        <w:rPr>
          <w:rFonts w:ascii="Times New Roman" w:hAnsi="Times New Roman" w:cs="Times New Roman"/>
          <w:i/>
          <w:sz w:val="28"/>
          <w:szCs w:val="28"/>
        </w:rPr>
        <w:t xml:space="preserve">гене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CASR</w:t>
      </w:r>
      <w:r>
        <w:rPr>
          <w:rFonts w:ascii="Times New Roman" w:hAnsi="Times New Roman" w:cs="Times New Roman"/>
          <w:sz w:val="28"/>
          <w:szCs w:val="28"/>
        </w:rPr>
        <w:t>). Учитывая аутосомно-домина</w:t>
      </w:r>
      <w:r>
        <w:rPr>
          <w:rFonts w:ascii="Times New Roman" w:hAnsi="Times New Roman" w:cs="Times New Roman"/>
          <w:sz w:val="28"/>
          <w:szCs w:val="28"/>
        </w:rPr>
        <w:t>нтный характер наследования в таком случае необходимо обследовать родителей не только на наличие мутации, но и на субклиническую гипокальцемию и гиперкальциурию.</w:t>
      </w:r>
    </w:p>
    <w:p w:rsidR="003126E1" w:rsidRDefault="003F0611">
      <w:pPr>
        <w:pStyle w:val="af3"/>
        <w:sectPr w:rsidR="003126E1">
          <w:footerReference w:type="default" r:id="rId8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 xml:space="preserve">Определение конкретной нозологической формы гипопаратиреоза позволяет предсказывать течение заболевания, вероятность появления патологии других органов и систем и определять тактику лечения пациента. Установление генетического дефекта при </w:t>
      </w:r>
      <w:r>
        <w:rPr>
          <w:rFonts w:ascii="Times New Roman" w:hAnsi="Times New Roman" w:cs="Times New Roman"/>
          <w:sz w:val="28"/>
          <w:szCs w:val="28"/>
        </w:rPr>
        <w:t>наследственных формах гипопаратиреоза дает возможность определить риск рождения больных детей в семье пациента, проводить дородовую диагностику [</w:t>
      </w:r>
      <w:r>
        <w:rPr>
          <w:rFonts w:ascii="Times New Roman" w:hAnsi="Times New Roman" w:cs="Times New Roman"/>
          <w:sz w:val="28"/>
          <w:szCs w:val="28"/>
          <w:lang w:val="en-US"/>
        </w:rPr>
        <w:t>BIII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3126E1" w:rsidRDefault="003126E1">
      <w:pPr>
        <w:pStyle w:val="a0"/>
        <w:spacing w:line="360" w:lineRule="auto"/>
      </w:pPr>
    </w:p>
    <w:p w:rsidR="003126E1" w:rsidRDefault="003F0611">
      <w:pPr>
        <w:pStyle w:val="a0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При отсутствии дополнительных клинических компонентов, которые позволяют  предположить этиологию ХНН, н</w:t>
      </w:r>
      <w:r>
        <w:rPr>
          <w:rFonts w:ascii="Times New Roman" w:hAnsi="Times New Roman" w:cs="Times New Roman"/>
          <w:sz w:val="28"/>
          <w:szCs w:val="28"/>
        </w:rPr>
        <w:t>еобходимо:</w:t>
      </w:r>
    </w:p>
    <w:p w:rsidR="003126E1" w:rsidRDefault="003F0611">
      <w:pPr>
        <w:pStyle w:val="ae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Всем пациентам с изолированным гипопаратиреозом неясной этиологии, возникшей после 1 года, рекомендуется исследование гена </w:t>
      </w:r>
      <w:r>
        <w:rPr>
          <w:rFonts w:ascii="Times New Roman" w:hAnsi="Times New Roman" w:cs="Times New Roman"/>
          <w:sz w:val="28"/>
          <w:szCs w:val="28"/>
          <w:lang w:val="en-US"/>
        </w:rPr>
        <w:t>AIRE</w:t>
      </w:r>
      <w:r>
        <w:rPr>
          <w:rFonts w:ascii="Times New Roman" w:hAnsi="Times New Roman" w:cs="Times New Roman"/>
          <w:sz w:val="28"/>
          <w:szCs w:val="28"/>
        </w:rPr>
        <w:t xml:space="preserve"> для исключения аутоиммунного полигландулярного синдрома 1 типа (вначале – на частую для российской популяции мутации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, при отсутствии этой мутации – секвенирование гена) или исследование антител к интерферону-омега [</w:t>
      </w:r>
      <w:r>
        <w:rPr>
          <w:rFonts w:ascii="Times New Roman" w:hAnsi="Times New Roman" w:cs="Times New Roman"/>
          <w:sz w:val="28"/>
          <w:szCs w:val="28"/>
          <w:lang w:val="en-US"/>
        </w:rPr>
        <w:t>BII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3126E1" w:rsidRDefault="003F0611">
      <w:pPr>
        <w:pStyle w:val="ae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наличия дополнительных компонентов или особенностей семейного анамнеза провести генетические исследования для выявления мутаций в </w:t>
      </w:r>
      <w:r>
        <w:rPr>
          <w:rFonts w:ascii="Times New Roman" w:hAnsi="Times New Roman" w:cs="Times New Roman"/>
          <w:sz w:val="28"/>
          <w:szCs w:val="28"/>
        </w:rPr>
        <w:t>известных генах, ответственных за развитие синдромов, проявляющихся гипопаратиреозом. Решение о клиническом значении генетического исследования и его необходимости к каждом конкретном случае  принимают совместно специалист-эндокринолог, генетик и родители.</w:t>
      </w:r>
      <w:r>
        <w:rPr>
          <w:rFonts w:ascii="Times New Roman" w:hAnsi="Times New Roman" w:cs="Times New Roman"/>
          <w:sz w:val="28"/>
          <w:szCs w:val="28"/>
        </w:rPr>
        <w:t xml:space="preserve"> (см Табл 1.) [</w:t>
      </w:r>
      <w:r>
        <w:rPr>
          <w:rFonts w:ascii="Times New Roman" w:hAnsi="Times New Roman" w:cs="Times New Roman"/>
          <w:sz w:val="28"/>
          <w:szCs w:val="28"/>
          <w:lang w:val="en-US"/>
        </w:rPr>
        <w:t>BIII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3126E1" w:rsidRDefault="003126E1">
      <w:pPr>
        <w:pStyle w:val="a0"/>
        <w:spacing w:line="360" w:lineRule="auto"/>
        <w:jc w:val="both"/>
      </w:pPr>
    </w:p>
    <w:p w:rsidR="003126E1" w:rsidRDefault="003126E1">
      <w:pPr>
        <w:pStyle w:val="a0"/>
        <w:spacing w:line="360" w:lineRule="auto"/>
      </w:pPr>
    </w:p>
    <w:p w:rsidR="003126E1" w:rsidRDefault="003F0611">
      <w:pPr>
        <w:pStyle w:val="a0"/>
        <w:pageBreakBefore/>
        <w:spacing w:line="360" w:lineRule="auto"/>
        <w:ind w:left="720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Наблюдение за пациентом с гипопаратиреозом</w:t>
      </w:r>
    </w:p>
    <w:p w:rsidR="003126E1" w:rsidRDefault="003F0611">
      <w:pPr>
        <w:pStyle w:val="ae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кальция ионизированного и оценка адекватности терапии 1 раз в 2-4 недели </w:t>
      </w:r>
    </w:p>
    <w:p w:rsidR="003126E1" w:rsidRDefault="003F0611">
      <w:pPr>
        <w:pStyle w:val="ae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Обследование с учетом причины гипокальцемии для выявления новых компонентов синдрома или коррекции уже </w:t>
      </w:r>
      <w:r>
        <w:rPr>
          <w:rFonts w:ascii="Times New Roman" w:hAnsi="Times New Roman" w:cs="Times New Roman"/>
          <w:sz w:val="28"/>
          <w:szCs w:val="28"/>
        </w:rPr>
        <w:t>назначенной терапии дополнительных компонентов  совместно с другими специалистами [</w:t>
      </w:r>
      <w:r>
        <w:rPr>
          <w:rFonts w:ascii="Times New Roman" w:hAnsi="Times New Roman" w:cs="Times New Roman"/>
          <w:sz w:val="28"/>
          <w:szCs w:val="28"/>
          <w:lang w:val="en-US"/>
        </w:rPr>
        <w:t>BII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3126E1" w:rsidRDefault="003F0611">
      <w:pPr>
        <w:pStyle w:val="ae"/>
        <w:spacing w:line="360" w:lineRule="auto"/>
        <w:ind w:left="1789"/>
        <w:jc w:val="both"/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3126E1" w:rsidRDefault="003F0611">
      <w:pPr>
        <w:pStyle w:val="ae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аутоиммунном полигландулярном синдроме 1 типа кортизол, АКТГ, проба с АКТГ (синактеном), ТТГ, свТ4, АлТ, АсТ, глюкоза, клинический анализ крови, а также – </w:t>
      </w:r>
      <w:r>
        <w:rPr>
          <w:rFonts w:ascii="Times New Roman" w:hAnsi="Times New Roman" w:cs="Times New Roman"/>
          <w:sz w:val="28"/>
          <w:szCs w:val="28"/>
        </w:rPr>
        <w:t>другие исследования - по показаниям.</w:t>
      </w:r>
    </w:p>
    <w:p w:rsidR="003126E1" w:rsidRDefault="003F0611">
      <w:pPr>
        <w:pStyle w:val="a0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Пациенты с редкими наследственными вариантами гипопаратиреоза должны наблюдаться не только по месту жительства, но и  в специализированных медицинских центрах, имеющих опыт наблюдения за пациентами с редкой эндокринной </w:t>
      </w:r>
      <w:r>
        <w:rPr>
          <w:rFonts w:ascii="Times New Roman" w:hAnsi="Times New Roman" w:cs="Times New Roman"/>
          <w:sz w:val="28"/>
          <w:szCs w:val="28"/>
        </w:rPr>
        <w:t>патологией.</w:t>
      </w:r>
    </w:p>
    <w:p w:rsidR="003126E1" w:rsidRDefault="003126E1">
      <w:pPr>
        <w:pStyle w:val="a0"/>
      </w:pPr>
    </w:p>
    <w:p w:rsidR="003126E1" w:rsidRDefault="003F0611">
      <w:pPr>
        <w:pStyle w:val="a0"/>
        <w:pageBreakBefore/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Лечение гипокальцемии:</w:t>
      </w:r>
    </w:p>
    <w:p w:rsidR="003126E1" w:rsidRDefault="003F0611">
      <w:pPr>
        <w:pStyle w:val="a0"/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Экстренные мероприятия при остром состоянии </w:t>
      </w:r>
    </w:p>
    <w:p w:rsidR="003126E1" w:rsidRDefault="003F0611">
      <w:pPr>
        <w:pStyle w:val="a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Показания: генерализованные судороги, выраженные мышечные спазмы, потеря сознания, ларингоспазм, нарушения сердечного ритма.</w:t>
      </w:r>
    </w:p>
    <w:p w:rsidR="003126E1" w:rsidRDefault="003F0611">
      <w:pPr>
        <w:pStyle w:val="a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Лечение: Глюконат кальция 10% в/в болюсно 10 мл (и</w:t>
      </w:r>
      <w:r>
        <w:rPr>
          <w:rFonts w:ascii="Times New Roman" w:hAnsi="Times New Roman" w:cs="Times New Roman"/>
          <w:sz w:val="28"/>
          <w:szCs w:val="28"/>
        </w:rPr>
        <w:t>ли у новорожденного -  1,0 мл/кг), вводить медленно в течение 5-10 минут. Затем продолжить в/в капельное введение в дозе 3-6 мл/кг/сут (максимум 8,8 ммоль/л в сутки) до нормализации уровня кальция. После купирования тяжелых симптомов гипокальцемии по возмо</w:t>
      </w:r>
      <w:r>
        <w:rPr>
          <w:rFonts w:ascii="Times New Roman" w:hAnsi="Times New Roman" w:cs="Times New Roman"/>
          <w:sz w:val="28"/>
          <w:szCs w:val="28"/>
        </w:rPr>
        <w:t xml:space="preserve">жности надо стремиться к переводу с парентерального на энтеральное введение кальция. Не допускать попадания раствора в подкожно-жировую клетчатку, что приведет к некрозу тканей с необходимостью пластической коррекции в дальнейшем!  </w:t>
      </w:r>
    </w:p>
    <w:p w:rsidR="003126E1" w:rsidRDefault="003F0611">
      <w:pPr>
        <w:pStyle w:val="a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Контроль терапии провод</w:t>
      </w:r>
      <w:r>
        <w:rPr>
          <w:rFonts w:ascii="Times New Roman" w:hAnsi="Times New Roman" w:cs="Times New Roman"/>
          <w:sz w:val="28"/>
          <w:szCs w:val="28"/>
        </w:rPr>
        <w:t>ится на основании уровня кальция в сыворотке крови, ЭКГ. Возможно развитие брадикардии на фоне введения кальция.</w:t>
      </w:r>
    </w:p>
    <w:p w:rsidR="003126E1" w:rsidRDefault="003F0611">
      <w:pPr>
        <w:pStyle w:val="a0"/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Постоянная поддерживающая терапия </w:t>
      </w:r>
    </w:p>
    <w:p w:rsidR="003126E1" w:rsidRDefault="003F0611">
      <w:pPr>
        <w:pStyle w:val="a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гипопаратиреозе и псевдогипопаратиреозе любой этиологии основным методом лечения являются препараты гидр</w:t>
      </w:r>
      <w:r>
        <w:rPr>
          <w:rFonts w:ascii="Times New Roman" w:hAnsi="Times New Roman" w:cs="Times New Roman"/>
          <w:sz w:val="28"/>
          <w:szCs w:val="28"/>
        </w:rPr>
        <w:t>оксилированного витамина Д (альфакальцидол, кальцитриол). Подбор дозы производится строго индивидуально на основании измерений уровня кальция крови 1 раз в 3 дня. Стартовая доза препарата зависит от уровня ионизированного кальция (менее 0,8 ммоль/л – 1 – 1</w:t>
      </w:r>
      <w:r>
        <w:rPr>
          <w:rFonts w:ascii="Times New Roman" w:hAnsi="Times New Roman" w:cs="Times New Roman"/>
          <w:sz w:val="28"/>
          <w:szCs w:val="28"/>
        </w:rPr>
        <w:t>,5  мкг, при 0,8 – 1,0 ммоль/л – 0,5 – 1 мкг в сутки) [</w:t>
      </w:r>
      <w:r>
        <w:rPr>
          <w:rFonts w:ascii="Times New Roman" w:hAnsi="Times New Roman" w:cs="Times New Roman"/>
          <w:sz w:val="28"/>
          <w:szCs w:val="28"/>
          <w:lang w:val="en-US"/>
        </w:rPr>
        <w:t>BIII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3126E1" w:rsidRDefault="003F0611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 существует ограничений по минимальной или максимальной дозе витамина Д. Критерии адекватной дозы – уровень кальция не выше середины границы нормы (1,2 ммоль/л) в течение 10 дней; после подбора</w:t>
      </w:r>
      <w:r>
        <w:rPr>
          <w:rFonts w:ascii="Times New Roman" w:hAnsi="Times New Roman" w:cs="Times New Roman"/>
          <w:sz w:val="28"/>
          <w:szCs w:val="28"/>
        </w:rPr>
        <w:t xml:space="preserve"> адекватной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дозы контроль уровня кальция проводится постоянно 1 раз в 2- 4 недели, на основании которого корректируется доза препарата. </w:t>
      </w:r>
    </w:p>
    <w:p w:rsidR="003126E1" w:rsidRDefault="003F0611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Дополнительными в лечении являются препараты кальция в дозе 500-3000 мг в сутки для обеспечения достаточного поступлени</w:t>
      </w:r>
      <w:r>
        <w:rPr>
          <w:rFonts w:ascii="Times New Roman" w:hAnsi="Times New Roman" w:cs="Times New Roman"/>
          <w:sz w:val="28"/>
          <w:szCs w:val="28"/>
        </w:rPr>
        <w:t>я кальция в организм [</w:t>
      </w:r>
      <w:r>
        <w:rPr>
          <w:rFonts w:ascii="Times New Roman" w:hAnsi="Times New Roman" w:cs="Times New Roman"/>
          <w:sz w:val="28"/>
          <w:szCs w:val="28"/>
          <w:lang w:val="en-US"/>
        </w:rPr>
        <w:t>BIII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3126E1" w:rsidRDefault="003126E1">
      <w:pPr>
        <w:pStyle w:val="a0"/>
        <w:spacing w:after="0" w:line="360" w:lineRule="auto"/>
        <w:ind w:left="1428" w:firstLine="709"/>
        <w:jc w:val="both"/>
      </w:pPr>
    </w:p>
    <w:p w:rsidR="003126E1" w:rsidRDefault="003F0611">
      <w:pPr>
        <w:pStyle w:val="af3"/>
        <w:sectPr w:rsidR="003126E1">
          <w:footerReference w:type="default" r:id="rId9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При гипомагнезиемии необходим также пероральный прием магния глицерофосфата в дозе 0,2 ммоль/кг 3 раза в день. При отсутствии эффекта от таблетированных форм, тяжелых побочных реакциях в виде диареи рекомендуются внутримышечные инъекции 50% раствора сульфа</w:t>
      </w:r>
      <w:r>
        <w:rPr>
          <w:rFonts w:ascii="Times New Roman" w:hAnsi="Times New Roman" w:cs="Times New Roman"/>
          <w:sz w:val="28"/>
          <w:szCs w:val="28"/>
        </w:rPr>
        <w:t xml:space="preserve">та магния. </w:t>
      </w:r>
    </w:p>
    <w:p w:rsidR="003126E1" w:rsidRDefault="003F0611">
      <w:pPr>
        <w:pStyle w:val="a0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1. Этиология гипопаратиреоза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3803"/>
        <w:gridCol w:w="4964"/>
        <w:gridCol w:w="2544"/>
        <w:gridCol w:w="2047"/>
      </w:tblGrid>
      <w:tr w:rsidR="003126E1">
        <w:tblPrEx>
          <w:tblCellMar>
            <w:top w:w="0" w:type="dxa"/>
            <w:bottom w:w="0" w:type="dxa"/>
          </w:tblCellMar>
        </w:tblPrEx>
        <w:tc>
          <w:tcPr>
            <w:tcW w:w="57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Нозология  </w:t>
            </w:r>
          </w:p>
        </w:tc>
        <w:tc>
          <w:tcPr>
            <w:tcW w:w="5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>Клинические особенности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i/>
                <w:sz w:val="28"/>
                <w:szCs w:val="28"/>
              </w:rPr>
              <w:t>Ген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:rsidR="003126E1" w:rsidRDefault="003126E1">
            <w:pPr>
              <w:pStyle w:val="a0"/>
              <w:spacing w:line="360" w:lineRule="auto"/>
              <w:jc w:val="both"/>
            </w:pPr>
          </w:p>
        </w:tc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i/>
                <w:sz w:val="28"/>
                <w:szCs w:val="28"/>
              </w:rPr>
              <w:t>Тип наследования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126E1">
            <w:pPr>
              <w:pStyle w:val="a0"/>
              <w:spacing w:line="360" w:lineRule="auto"/>
              <w:jc w:val="center"/>
            </w:pPr>
          </w:p>
        </w:tc>
        <w:tc>
          <w:tcPr>
            <w:tcW w:w="58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НАСЛЕДСТВЕННЫЕ ВАРИАНТЫ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126E1">
            <w:pPr>
              <w:pStyle w:val="ae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58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e"/>
              <w:numPr>
                <w:ilvl w:val="0"/>
                <w:numId w:val="11"/>
              </w:num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С низким паратгормоном (ПТГ)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c>
          <w:tcPr>
            <w:tcW w:w="57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</w:pPr>
            <w:r>
              <w:rPr>
                <w:sz w:val="28"/>
                <w:szCs w:val="28"/>
              </w:rPr>
              <w:t>Аутоиммунный полигландулярный синдром 1 типа</w:t>
            </w:r>
          </w:p>
          <w:p w:rsidR="003126E1" w:rsidRDefault="003126E1">
            <w:pPr>
              <w:pStyle w:val="a0"/>
              <w:spacing w:line="360" w:lineRule="auto"/>
            </w:pPr>
          </w:p>
        </w:tc>
        <w:tc>
          <w:tcPr>
            <w:tcW w:w="5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хронический кожно-слизистый кандидоз, </w:t>
            </w:r>
            <w:r>
              <w:rPr>
                <w:sz w:val="28"/>
                <w:szCs w:val="28"/>
              </w:rPr>
              <w:t>надпочечниковая недостаточность, алопеция и др аутоиммунные нарушения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i/>
                <w:sz w:val="28"/>
                <w:szCs w:val="28"/>
                <w:lang w:val="en-US"/>
              </w:rPr>
              <w:t>AIRE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i/>
                <w:sz w:val="28"/>
                <w:szCs w:val="28"/>
              </w:rPr>
              <w:t>АР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c>
          <w:tcPr>
            <w:tcW w:w="57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</w:pPr>
            <w:r>
              <w:rPr>
                <w:sz w:val="28"/>
                <w:szCs w:val="28"/>
              </w:rPr>
              <w:t>Синдром ДиДжорджа, Велокардиофасциальный синдром,</w:t>
            </w:r>
          </w:p>
          <w:p w:rsidR="003126E1" w:rsidRDefault="003F0611">
            <w:pPr>
              <w:pStyle w:val="a0"/>
              <w:spacing w:line="360" w:lineRule="auto"/>
            </w:pPr>
            <w:r>
              <w:rPr>
                <w:sz w:val="28"/>
                <w:szCs w:val="28"/>
                <w:lang w:val="en-US"/>
              </w:rPr>
              <w:t>CATCH</w:t>
            </w:r>
            <w:r>
              <w:rPr>
                <w:sz w:val="28"/>
                <w:szCs w:val="28"/>
              </w:rPr>
              <w:t>22 синдром</w:t>
            </w:r>
          </w:p>
          <w:p w:rsidR="003126E1" w:rsidRDefault="003126E1">
            <w:pPr>
              <w:pStyle w:val="a0"/>
              <w:spacing w:line="360" w:lineRule="auto"/>
            </w:pPr>
          </w:p>
        </w:tc>
        <w:tc>
          <w:tcPr>
            <w:tcW w:w="5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>аплазия тимуса и паращитовидных желез, пороки сердца, пороки лицевого скелета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i/>
                <w:sz w:val="28"/>
                <w:szCs w:val="28"/>
              </w:rPr>
              <w:t>Делеция 22</w:t>
            </w:r>
            <w:r>
              <w:rPr>
                <w:i/>
                <w:sz w:val="28"/>
                <w:szCs w:val="28"/>
                <w:lang w:val="en-US"/>
              </w:rPr>
              <w:t xml:space="preserve">q11, </w:t>
            </w:r>
            <w:r>
              <w:rPr>
                <w:i/>
                <w:sz w:val="28"/>
                <w:szCs w:val="28"/>
              </w:rPr>
              <w:t>делеция 10</w:t>
            </w:r>
            <w:r>
              <w:rPr>
                <w:i/>
                <w:sz w:val="28"/>
                <w:szCs w:val="28"/>
                <w:lang w:val="en-US"/>
              </w:rPr>
              <w:t>p3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i/>
                <w:sz w:val="28"/>
                <w:szCs w:val="28"/>
              </w:rPr>
              <w:t xml:space="preserve">В </w:t>
            </w:r>
            <w:r>
              <w:rPr>
                <w:i/>
                <w:sz w:val="28"/>
                <w:szCs w:val="28"/>
              </w:rPr>
              <w:t>основном – спорадические случаи, редко АД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c>
          <w:tcPr>
            <w:tcW w:w="57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Семейный изолированный </w:t>
            </w:r>
            <w:r>
              <w:rPr>
                <w:sz w:val="28"/>
                <w:szCs w:val="28"/>
              </w:rPr>
              <w:lastRenderedPageBreak/>
              <w:t>гипопаратиреоз</w:t>
            </w:r>
          </w:p>
        </w:tc>
        <w:tc>
          <w:tcPr>
            <w:tcW w:w="5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lastRenderedPageBreak/>
              <w:t>Нет других проявлений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i/>
                <w:sz w:val="28"/>
                <w:szCs w:val="28"/>
                <w:lang w:val="en-US"/>
              </w:rPr>
              <w:t>PTH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GCM</w:t>
            </w:r>
            <w:r>
              <w:rPr>
                <w:i/>
                <w:sz w:val="28"/>
                <w:szCs w:val="28"/>
              </w:rPr>
              <w:t xml:space="preserve">2, </w:t>
            </w:r>
            <w:r>
              <w:rPr>
                <w:i/>
                <w:sz w:val="28"/>
                <w:szCs w:val="28"/>
                <w:lang w:val="en-US"/>
              </w:rPr>
              <w:lastRenderedPageBreak/>
              <w:t>preproPTH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i/>
                <w:sz w:val="28"/>
                <w:szCs w:val="28"/>
              </w:rPr>
              <w:lastRenderedPageBreak/>
              <w:t>АД, АР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c>
          <w:tcPr>
            <w:tcW w:w="57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lastRenderedPageBreak/>
              <w:t xml:space="preserve">Синдром Бараката, или </w:t>
            </w:r>
            <w:r>
              <w:rPr>
                <w:sz w:val="28"/>
                <w:szCs w:val="28"/>
                <w:lang w:val="en-US"/>
              </w:rPr>
              <w:t>HRD</w:t>
            </w:r>
            <w:r>
              <w:rPr>
                <w:sz w:val="28"/>
                <w:szCs w:val="28"/>
              </w:rPr>
              <w:t xml:space="preserve">-синдром </w:t>
            </w:r>
          </w:p>
        </w:tc>
        <w:tc>
          <w:tcPr>
            <w:tcW w:w="5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>нейросенсорная тугоухость, аномалии почек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i/>
                <w:iCs/>
                <w:sz w:val="28"/>
                <w:szCs w:val="28"/>
                <w:lang w:val="en-US"/>
              </w:rPr>
              <w:t>GATA3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i/>
                <w:iCs/>
                <w:sz w:val="28"/>
                <w:szCs w:val="28"/>
              </w:rPr>
              <w:t>АД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c>
          <w:tcPr>
            <w:tcW w:w="57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Синдром Кенни –Каффи или </w:t>
            </w:r>
            <w:r>
              <w:rPr>
                <w:sz w:val="28"/>
                <w:szCs w:val="28"/>
              </w:rPr>
              <w:t>Саньяд-Сакати</w:t>
            </w:r>
          </w:p>
        </w:tc>
        <w:tc>
          <w:tcPr>
            <w:tcW w:w="5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>задержка умственного развития, низкорослость, микроцефалия, врожденные аномалии органа зрения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i/>
                <w:sz w:val="28"/>
                <w:szCs w:val="28"/>
              </w:rPr>
              <w:t>ТВСЕ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i/>
                <w:sz w:val="28"/>
                <w:szCs w:val="28"/>
                <w:lang w:val="en-US"/>
              </w:rPr>
              <w:t>AH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c>
          <w:tcPr>
            <w:tcW w:w="57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>Митохондриальная энцефалопатия (</w:t>
            </w:r>
            <w:r>
              <w:rPr>
                <w:sz w:val="28"/>
                <w:szCs w:val="28"/>
                <w:lang w:val="en-US"/>
              </w:rPr>
              <w:t>MELAS</w:t>
            </w:r>
            <w:r>
              <w:rPr>
                <w:sz w:val="28"/>
                <w:szCs w:val="28"/>
              </w:rPr>
              <w:t xml:space="preserve"> синдром)</w:t>
            </w:r>
          </w:p>
        </w:tc>
        <w:tc>
          <w:tcPr>
            <w:tcW w:w="5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>лактат-ацидоз, инсультоподобные состояния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>Дефекты митохондриальной ДНК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126E1">
            <w:pPr>
              <w:pStyle w:val="a0"/>
              <w:spacing w:line="360" w:lineRule="auto"/>
              <w:jc w:val="both"/>
            </w:pPr>
          </w:p>
        </w:tc>
      </w:tr>
      <w:tr w:rsidR="003126E1">
        <w:tblPrEx>
          <w:tblCellMar>
            <w:top w:w="0" w:type="dxa"/>
            <w:bottom w:w="0" w:type="dxa"/>
          </w:tblCellMar>
        </w:tblPrEx>
        <w:tc>
          <w:tcPr>
            <w:tcW w:w="57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>Гипомагнезиемия</w:t>
            </w:r>
          </w:p>
        </w:tc>
        <w:tc>
          <w:tcPr>
            <w:tcW w:w="5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f"/>
              <w:ind w:firstLine="0"/>
              <w:jc w:val="left"/>
            </w:pPr>
            <w:r>
              <w:rPr>
                <w:sz w:val="28"/>
                <w:szCs w:val="28"/>
              </w:rPr>
              <w:t>Нефрокальциноз с гиперкальциурией и гипермагнезиурией;</w:t>
            </w:r>
          </w:p>
          <w:p w:rsidR="003126E1" w:rsidRDefault="003F0611">
            <w:pPr>
              <w:pStyle w:val="af"/>
              <w:ind w:firstLine="0"/>
              <w:jc w:val="left"/>
            </w:pPr>
            <w:r>
              <w:rPr>
                <w:sz w:val="28"/>
                <w:szCs w:val="28"/>
              </w:rPr>
              <w:t>Патология органа зрения (колобома, миопия, нистагм);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f"/>
              <w:ind w:firstLine="0"/>
              <w:jc w:val="left"/>
            </w:pPr>
            <w:r>
              <w:rPr>
                <w:i/>
                <w:sz w:val="28"/>
                <w:szCs w:val="28"/>
                <w:lang w:val="en-US"/>
              </w:rPr>
              <w:t>Claudin16, 19, TRPM6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f"/>
              <w:ind w:firstLine="0"/>
              <w:jc w:val="left"/>
            </w:pPr>
            <w:r>
              <w:rPr>
                <w:i/>
                <w:sz w:val="28"/>
                <w:szCs w:val="28"/>
              </w:rPr>
              <w:t>АР, АД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57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lastRenderedPageBreak/>
              <w:t xml:space="preserve">Синдром Кернса-Сейра </w:t>
            </w:r>
          </w:p>
        </w:tc>
        <w:tc>
          <w:tcPr>
            <w:tcW w:w="5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>Наружная офтальмоплегия, кардиомиопатия,  птоз, сахарный диабет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>Дефекты митохондриальной ДНК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>материнское наследование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126E1">
            <w:pPr>
              <w:pStyle w:val="ae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58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e"/>
              <w:numPr>
                <w:ilvl w:val="0"/>
                <w:numId w:val="11"/>
              </w:numPr>
              <w:spacing w:line="360" w:lineRule="auto"/>
              <w:jc w:val="both"/>
            </w:pPr>
            <w:r>
              <w:rPr>
                <w:i/>
                <w:sz w:val="28"/>
                <w:szCs w:val="28"/>
              </w:rPr>
              <w:t>С нормальным или низким паратгормоном (ПТГ)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57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>Аутосомно-доминантная гипокальцемия</w:t>
            </w:r>
          </w:p>
        </w:tc>
        <w:tc>
          <w:tcPr>
            <w:tcW w:w="5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Гиперкальциурия 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SR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>АД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126E1">
            <w:pPr>
              <w:pStyle w:val="ae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58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e"/>
              <w:numPr>
                <w:ilvl w:val="0"/>
                <w:numId w:val="11"/>
              </w:numPr>
              <w:spacing w:line="360" w:lineRule="auto"/>
              <w:jc w:val="both"/>
            </w:pPr>
            <w:r>
              <w:rPr>
                <w:i/>
                <w:sz w:val="28"/>
                <w:szCs w:val="28"/>
              </w:rPr>
              <w:t>С высоким паратгормоном (ПТГ)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7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Псевдогипопаратиреоз 1а </w:t>
            </w:r>
          </w:p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>(Остеодистрофия Олбрайта)</w:t>
            </w:r>
          </w:p>
        </w:tc>
        <w:tc>
          <w:tcPr>
            <w:tcW w:w="5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Ожирение, лунообразное лицо, </w:t>
            </w:r>
            <w:r>
              <w:rPr>
                <w:sz w:val="28"/>
                <w:szCs w:val="28"/>
              </w:rPr>
              <w:t>низкорослость, задержка умственного развития,  брахидактилия (укорочение 4 и 5 метакарпальных и метатарзальных костей), подкожные кальцификаты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  <w:lang w:val="en-US"/>
              </w:rPr>
              <w:t>GNAS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>АД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57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lastRenderedPageBreak/>
              <w:t>Псевдогипопаратиреоз 1</w:t>
            </w:r>
            <w:r>
              <w:rPr>
                <w:sz w:val="28"/>
                <w:szCs w:val="28"/>
                <w:lang w:val="en-US"/>
              </w:rPr>
              <w:t>b</w:t>
            </w:r>
          </w:p>
          <w:p w:rsidR="003126E1" w:rsidRDefault="003126E1">
            <w:pPr>
              <w:pStyle w:val="a0"/>
            </w:pPr>
          </w:p>
        </w:tc>
        <w:tc>
          <w:tcPr>
            <w:tcW w:w="5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126E1">
            <w:pPr>
              <w:pStyle w:val="a0"/>
            </w:pP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Дефекты метилирования </w:t>
            </w:r>
            <w:r>
              <w:rPr>
                <w:sz w:val="28"/>
                <w:szCs w:val="28"/>
                <w:lang w:val="en-US"/>
              </w:rPr>
              <w:t>GNAS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>АД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57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</w:pPr>
            <w:r>
              <w:rPr>
                <w:sz w:val="28"/>
                <w:szCs w:val="28"/>
              </w:rPr>
              <w:t>Остеопетроз (мраморная болезнь)</w:t>
            </w:r>
          </w:p>
        </w:tc>
        <w:tc>
          <w:tcPr>
            <w:tcW w:w="5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126E1">
            <w:pPr>
              <w:pStyle w:val="a0"/>
            </w:pP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Pr="003D180E" w:rsidRDefault="003F0611">
            <w:pPr>
              <w:pStyle w:val="a0"/>
              <w:spacing w:line="360" w:lineRule="auto"/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TNFSF11, CA2, CLCN7, OSTM1, CLCN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др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>АР, АД</w:t>
            </w:r>
          </w:p>
        </w:tc>
      </w:tr>
      <w:tr w:rsidR="003126E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126E1">
            <w:pPr>
              <w:pStyle w:val="a0"/>
              <w:spacing w:line="360" w:lineRule="auto"/>
              <w:jc w:val="center"/>
            </w:pPr>
          </w:p>
        </w:tc>
        <w:tc>
          <w:tcPr>
            <w:tcW w:w="111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ПРИОБРЕТЕННЫЕ ВАРИАНТЫ</w:t>
            </w:r>
          </w:p>
        </w:tc>
        <w:tc>
          <w:tcPr>
            <w:tcW w:w="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126E1">
            <w:pPr>
              <w:pStyle w:val="a0"/>
              <w:spacing w:line="360" w:lineRule="auto"/>
              <w:jc w:val="center"/>
            </w:pPr>
          </w:p>
        </w:tc>
      </w:tr>
      <w:tr w:rsidR="003126E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57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>Послеоперационный гипопаратиреоз</w:t>
            </w:r>
          </w:p>
        </w:tc>
        <w:tc>
          <w:tcPr>
            <w:tcW w:w="5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</w:rPr>
              <w:t>Последствия тиреоидэктомии, паратиреоидэктомии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E1" w:rsidRDefault="003F0611">
            <w:pPr>
              <w:pStyle w:val="a0"/>
              <w:spacing w:line="360" w:lineRule="auto"/>
              <w:jc w:val="both"/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3126E1" w:rsidRDefault="003126E1">
      <w:pPr>
        <w:pStyle w:val="a0"/>
        <w:sectPr w:rsidR="003126E1">
          <w:footerReference w:type="default" r:id="rId10"/>
          <w:pgSz w:w="16838" w:h="11906" w:orient="landscape"/>
          <w:pgMar w:top="1701" w:right="1134" w:bottom="850" w:left="1134" w:header="0" w:footer="708" w:gutter="0"/>
          <w:cols w:space="720"/>
          <w:formProt w:val="0"/>
          <w:docGrid w:linePitch="360" w:charSpace="4096"/>
        </w:sectPr>
      </w:pPr>
    </w:p>
    <w:p w:rsidR="003126E1" w:rsidRDefault="003F0611">
      <w:pPr>
        <w:pStyle w:val="af"/>
      </w:pPr>
      <w:r>
        <w:rPr>
          <w:noProof/>
        </w:rPr>
        <w:lastRenderedPageBreak/>
        <w:drawing>
          <wp:inline distT="0" distB="0" distL="0" distR="0">
            <wp:extent cx="5940425" cy="386524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E1" w:rsidRDefault="003F0611">
      <w:pPr>
        <w:pStyle w:val="a0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Рисунок 1.  Алгоритм первичного обследования пациента с </w:t>
      </w:r>
      <w:r>
        <w:rPr>
          <w:rFonts w:ascii="Times New Roman" w:hAnsi="Times New Roman" w:cs="Times New Roman"/>
          <w:b/>
          <w:sz w:val="24"/>
          <w:szCs w:val="24"/>
        </w:rPr>
        <w:t>гипокальцемией</w:t>
      </w:r>
    </w:p>
    <w:p w:rsidR="003126E1" w:rsidRDefault="003F0611">
      <w:pPr>
        <w:pStyle w:val="a0"/>
      </w:pPr>
      <w:r>
        <w:t xml:space="preserve">Са – кальций, Са++ - кальций ионизированный, Р – фосфор, ПТГ – паратгормон, ХПН – хроническая почечная недостаточность, </w:t>
      </w:r>
      <w:r>
        <w:rPr>
          <w:lang w:val="en-US"/>
        </w:rPr>
        <w:t>Mg</w:t>
      </w:r>
      <w:r>
        <w:t xml:space="preserve"> – магний,  </w:t>
      </w:r>
      <w:r>
        <w:rPr>
          <w:lang w:val="en-US"/>
        </w:rPr>
        <w:t>CASR</w:t>
      </w:r>
      <w:r>
        <w:t xml:space="preserve"> – кальций-чувствительный рецептор</w:t>
      </w:r>
    </w:p>
    <w:p w:rsidR="003126E1" w:rsidRDefault="003126E1">
      <w:pPr>
        <w:pStyle w:val="a0"/>
      </w:pPr>
    </w:p>
    <w:p w:rsidR="003126E1" w:rsidRDefault="003F0611">
      <w:pPr>
        <w:pStyle w:val="a0"/>
        <w:pageBreakBefore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3126E1" w:rsidRDefault="003126E1">
      <w:pPr>
        <w:pStyle w:val="a0"/>
      </w:pPr>
    </w:p>
    <w:p w:rsidR="003126E1" w:rsidRDefault="003F0611">
      <w:pPr>
        <w:pStyle w:val="ae"/>
        <w:numPr>
          <w:ilvl w:val="0"/>
          <w:numId w:val="1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Справочник детского эндокринолога/Дедов ИИ, </w:t>
      </w:r>
      <w:r>
        <w:rPr>
          <w:rFonts w:ascii="Times New Roman" w:hAnsi="Times New Roman" w:cs="Times New Roman"/>
          <w:sz w:val="24"/>
          <w:szCs w:val="24"/>
        </w:rPr>
        <w:t>Петеркова ВА, Ширяева ТЮ, Безлепкина ОБ, Карева МА, Кураева, Нагаева ЕВ, Орлова ЕМ, Стребкова НА. – М: Литтера,  2011 – 528 с.</w:t>
      </w:r>
    </w:p>
    <w:p w:rsidR="003126E1" w:rsidRDefault="003F0611">
      <w:pPr>
        <w:pStyle w:val="ae"/>
        <w:numPr>
          <w:ilvl w:val="0"/>
          <w:numId w:val="13"/>
        </w:numPr>
        <w:spacing w:line="360" w:lineRule="auto"/>
      </w:pPr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Calcium and Bone Disorders in Children and Adolescents </w:t>
      </w:r>
      <w:hyperlink r:id="rId12">
        <w:r>
          <w:rPr>
            <w:rStyle w:val="-"/>
            <w:rFonts w:ascii="Times New Roman" w:hAnsi="Times New Roman" w:cs="Times New Roman"/>
            <w:color w:val="00000A"/>
            <w:spacing w:val="2"/>
            <w:sz w:val="24"/>
            <w:szCs w:val="24"/>
            <w:u w:val="none"/>
            <w:lang w:val="en-US"/>
          </w:rPr>
          <w:t xml:space="preserve">Endocrine </w:t>
        </w:r>
        <w:r>
          <w:rPr>
            <w:rStyle w:val="-"/>
            <w:rFonts w:ascii="Times New Roman" w:hAnsi="Times New Roman" w:cs="Times New Roman"/>
            <w:color w:val="00000A"/>
            <w:spacing w:val="2"/>
            <w:sz w:val="24"/>
            <w:szCs w:val="24"/>
            <w:u w:val="none"/>
            <w:lang w:val="en-US"/>
          </w:rPr>
          <w:t>Development</w:t>
        </w:r>
      </w:hyperlink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 xml:space="preserve">, Vol. 16 </w:t>
      </w:r>
      <w:r>
        <w:rPr>
          <w:rStyle w:val="producteditors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Editor(s): Allgrove J. 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producteditors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Shaw N., Karger,</w:t>
      </w:r>
      <w:r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 </w:t>
      </w:r>
      <w:r>
        <w:rPr>
          <w:rStyle w:val="producteditors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 xml:space="preserve"> 2009 </w:t>
      </w:r>
    </w:p>
    <w:p w:rsidR="003126E1" w:rsidRDefault="003F0611">
      <w:pPr>
        <w:pStyle w:val="ae"/>
        <w:numPr>
          <w:ilvl w:val="0"/>
          <w:numId w:val="13"/>
        </w:numPr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Upadhyay J, Steenkamp DW, Milunsky </w:t>
      </w:r>
      <w:hyperlink r:id="rId13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The syndrome of </w:t>
        </w:r>
        <w:r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hypoparathyroidism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, deafness, and renal anomalies.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M.Endocr Pract. 2013 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ov-Dec;19(6):1035-42</w:t>
      </w:r>
    </w:p>
    <w:p w:rsidR="003126E1" w:rsidRPr="003D180E" w:rsidRDefault="003F0611">
      <w:pPr>
        <w:pStyle w:val="ae"/>
        <w:numPr>
          <w:ilvl w:val="0"/>
          <w:numId w:val="13"/>
        </w:numPr>
        <w:shd w:val="clear" w:color="auto" w:fill="FFFFFF"/>
        <w:spacing w:before="34" w:after="34" w:line="36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Lima K, Abrahamsen TG, Wolff AB, Husebye E, Alimohammadi M, Kämpe O, Følling I.</w:t>
      </w:r>
    </w:p>
    <w:p w:rsidR="003126E1" w:rsidRPr="003D180E" w:rsidRDefault="003F0611">
      <w:pPr>
        <w:pStyle w:val="ae"/>
        <w:shd w:val="clear" w:color="auto" w:fill="FFFFFF"/>
        <w:spacing w:after="0" w:line="360" w:lineRule="auto"/>
        <w:ind w:left="360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Eur J Endocrinol. </w:t>
      </w:r>
      <w:hyperlink r:id="rId14">
        <w:r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Hypoparathyroidism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 and autoimmunity in the 22q11.2 deletion syndrome.</w:t>
        </w:r>
      </w:hyperlink>
    </w:p>
    <w:p w:rsidR="003126E1" w:rsidRDefault="003F0611">
      <w:pPr>
        <w:pStyle w:val="ae"/>
        <w:shd w:val="clear" w:color="auto" w:fill="FFFFFF"/>
        <w:spacing w:before="34" w:after="34" w:line="36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345-52.</w:t>
      </w:r>
    </w:p>
    <w:p w:rsidR="003126E1" w:rsidRPr="003D180E" w:rsidRDefault="003F0611">
      <w:pPr>
        <w:pStyle w:val="ae"/>
        <w:numPr>
          <w:ilvl w:val="0"/>
          <w:numId w:val="13"/>
        </w:numPr>
        <w:shd w:val="clear" w:color="auto" w:fill="FFFFFF"/>
        <w:spacing w:before="34" w:after="34" w:line="36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Mantovani G. </w:t>
      </w:r>
      <w:r>
        <w:rPr>
          <w:rStyle w:val="jrnl"/>
          <w:rFonts w:ascii="Times New Roman" w:hAnsi="Times New Roman" w:cs="Times New Roman"/>
          <w:sz w:val="24"/>
          <w:szCs w:val="24"/>
          <w:lang w:val="en-US"/>
        </w:rPr>
        <w:t xml:space="preserve">J </w:t>
      </w:r>
      <w:hyperlink r:id="rId15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  <w:lang w:val="en-US"/>
          </w:rPr>
          <w:t>Clinical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 </w:t>
        </w:r>
        <w:r>
          <w:rPr>
            <w:rStyle w:val="-"/>
            <w:rFonts w:ascii="Times New Roman" w:hAnsi="Times New Roman" w:cs="Times New Roman"/>
            <w:bCs/>
            <w:color w:val="00000A"/>
            <w:sz w:val="24"/>
            <w:szCs w:val="24"/>
            <w:u w:val="none"/>
            <w:lang w:val="en-US"/>
          </w:rPr>
          <w:t>review</w:t>
        </w:r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  <w:lang w:val="en-US"/>
          </w:rPr>
          <w:t>: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 </w:t>
        </w:r>
        <w:r>
          <w:rPr>
            <w:rStyle w:val="-"/>
            <w:rFonts w:ascii="Times New Roman" w:hAnsi="Times New Roman" w:cs="Times New Roman"/>
            <w:bCs/>
            <w:color w:val="00000A"/>
            <w:sz w:val="24"/>
            <w:szCs w:val="24"/>
            <w:u w:val="none"/>
            <w:lang w:val="en-US"/>
          </w:rPr>
          <w:t>Pseudohypoparathyroidism</w:t>
        </w:r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  <w:lang w:val="en-US"/>
          </w:rPr>
          <w:t>: diagnosis and treatment.</w:t>
        </w:r>
      </w:hyperlink>
    </w:p>
    <w:p w:rsidR="003126E1" w:rsidRDefault="003F0611">
      <w:pPr>
        <w:pStyle w:val="desc"/>
        <w:shd w:val="clear" w:color="auto" w:fill="FFFFFF"/>
        <w:spacing w:line="360" w:lineRule="auto"/>
        <w:ind w:left="360"/>
      </w:pPr>
      <w:r>
        <w:rPr>
          <w:rStyle w:val="jrnl"/>
          <w:lang w:val="en-US"/>
        </w:rPr>
        <w:t>Clin Endocrinol Metab</w:t>
      </w:r>
      <w:r>
        <w:rPr>
          <w:lang w:val="en-US"/>
        </w:rPr>
        <w:t>. 2011 Oct;96(10):3020-30</w:t>
      </w:r>
    </w:p>
    <w:p w:rsidR="003126E1" w:rsidRDefault="003F0611">
      <w:pPr>
        <w:pStyle w:val="desc"/>
        <w:numPr>
          <w:ilvl w:val="0"/>
          <w:numId w:val="13"/>
        </w:numPr>
        <w:shd w:val="clear" w:color="auto" w:fill="FFFFFF"/>
        <w:spacing w:line="360" w:lineRule="auto"/>
        <w:ind w:left="357" w:firstLine="0"/>
      </w:pPr>
      <w:r>
        <w:rPr>
          <w:bCs/>
          <w:lang w:val="en-US"/>
        </w:rPr>
        <w:t>Husebye</w:t>
      </w:r>
      <w:r>
        <w:rPr>
          <w:rStyle w:val="apple-converted-space"/>
          <w:lang w:val="en-US"/>
        </w:rPr>
        <w:t> </w:t>
      </w:r>
      <w:r>
        <w:rPr>
          <w:lang w:val="en-US"/>
        </w:rPr>
        <w:t xml:space="preserve">ES </w:t>
      </w:r>
      <w:hyperlink r:id="rId16">
        <w:r>
          <w:rPr>
            <w:rStyle w:val="-"/>
            <w:color w:val="00000A"/>
            <w:u w:val="none"/>
            <w:lang w:val="en-US"/>
          </w:rPr>
          <w:t>Functional autoantibodies cause hypoparathyroidism.</w:t>
        </w:r>
      </w:hyperlink>
      <w:r>
        <w:rPr>
          <w:lang w:val="en-US"/>
        </w:rPr>
        <w:t xml:space="preserve"> </w:t>
      </w:r>
      <w:r>
        <w:rPr>
          <w:rStyle w:val="jrnl"/>
          <w:lang w:val="en-US"/>
        </w:rPr>
        <w:t>J Clin Endocrinol Metab</w:t>
      </w:r>
      <w:r>
        <w:rPr>
          <w:lang w:val="en-US"/>
        </w:rPr>
        <w:t>. 2009 Dec;94(12):4655-7</w:t>
      </w:r>
    </w:p>
    <w:p w:rsidR="003126E1" w:rsidRPr="003D180E" w:rsidRDefault="003F0611">
      <w:pPr>
        <w:pStyle w:val="11"/>
        <w:numPr>
          <w:ilvl w:val="0"/>
          <w:numId w:val="13"/>
        </w:numPr>
        <w:shd w:val="clear" w:color="auto" w:fill="FFFFFF"/>
        <w:spacing w:line="360" w:lineRule="auto"/>
        <w:ind w:left="357" w:firstLine="0"/>
        <w:rPr>
          <w:lang w:val="en-US"/>
        </w:rPr>
      </w:pPr>
      <w:r>
        <w:rPr>
          <w:lang w:val="en-US"/>
        </w:rPr>
        <w:t xml:space="preserve">Bassett AS, McDonald-McGinn DM, Devriendt K, Digilio MC, Goldenberg P, Habel A, Marino B, Oskarsdottir S, Philip N, Sullivan K, Swillen A, Vorstman J; </w:t>
      </w:r>
      <w:hyperlink r:id="rId17">
        <w:r>
          <w:rPr>
            <w:rStyle w:val="-"/>
            <w:color w:val="00000A"/>
            <w:u w:val="none"/>
            <w:lang w:val="en-US"/>
          </w:rPr>
          <w:t>Practical</w:t>
        </w:r>
        <w:r>
          <w:rPr>
            <w:rStyle w:val="-"/>
            <w:lang w:val="en-US"/>
          </w:rPr>
          <w:t> </w:t>
        </w:r>
        <w:r>
          <w:rPr>
            <w:rStyle w:val="-"/>
            <w:bCs/>
            <w:color w:val="00000A"/>
            <w:u w:val="none"/>
            <w:lang w:val="en-US"/>
          </w:rPr>
          <w:t>guidelines</w:t>
        </w:r>
        <w:r>
          <w:rPr>
            <w:rStyle w:val="-"/>
            <w:lang w:val="en-US"/>
          </w:rPr>
          <w:t> </w:t>
        </w:r>
        <w:r>
          <w:rPr>
            <w:rStyle w:val="-"/>
            <w:color w:val="00000A"/>
            <w:u w:val="none"/>
            <w:lang w:val="en-US"/>
          </w:rPr>
          <w:t>for managing patients</w:t>
        </w:r>
        <w:r>
          <w:rPr>
            <w:rStyle w:val="-"/>
            <w:color w:val="00000A"/>
            <w:u w:val="none"/>
            <w:lang w:val="en-US"/>
          </w:rPr>
          <w:t xml:space="preserve"> with 22q11.2 deletion syndrome.</w:t>
        </w:r>
      </w:hyperlink>
    </w:p>
    <w:p w:rsidR="003126E1" w:rsidRDefault="003F0611">
      <w:pPr>
        <w:pStyle w:val="desc"/>
        <w:shd w:val="clear" w:color="auto" w:fill="FFFFFF"/>
        <w:spacing w:line="360" w:lineRule="auto"/>
        <w:ind w:left="357"/>
      </w:pPr>
      <w:r>
        <w:rPr>
          <w:lang w:val="en-US"/>
        </w:rPr>
        <w:t>International 22q11.2 Deletion Syndrome Consortium.</w:t>
      </w:r>
      <w:r>
        <w:rPr>
          <w:rStyle w:val="jrnl"/>
          <w:lang w:val="en-US"/>
        </w:rPr>
        <w:t>J Pediatr</w:t>
      </w:r>
      <w:r>
        <w:rPr>
          <w:lang w:val="en-US"/>
        </w:rPr>
        <w:t>. 2011 Aug;159(2):332-9</w:t>
      </w:r>
    </w:p>
    <w:p w:rsidR="003126E1" w:rsidRDefault="003F0611">
      <w:pPr>
        <w:pStyle w:val="11"/>
        <w:numPr>
          <w:ilvl w:val="0"/>
          <w:numId w:val="13"/>
        </w:numPr>
        <w:shd w:val="clear" w:color="auto" w:fill="FFFFFF"/>
        <w:spacing w:line="360" w:lineRule="auto"/>
      </w:pPr>
      <w:r>
        <w:rPr>
          <w:lang w:val="en-US"/>
        </w:rPr>
        <w:t xml:space="preserve">Katsanos KH, Elisaf M, Bairaktari E, Tsianos EV. </w:t>
      </w:r>
      <w:hyperlink r:id="rId18">
        <w:r>
          <w:rPr>
            <w:rStyle w:val="-"/>
            <w:color w:val="00000A"/>
            <w:u w:val="none"/>
            <w:lang w:val="en-US"/>
          </w:rPr>
          <w:t>Severe hypomagnesemia and</w:t>
        </w:r>
        <w:r>
          <w:rPr>
            <w:rStyle w:val="-"/>
            <w:lang w:val="en-US"/>
          </w:rPr>
          <w:t> </w:t>
        </w:r>
        <w:r>
          <w:rPr>
            <w:rStyle w:val="-"/>
            <w:bCs/>
            <w:color w:val="00000A"/>
            <w:u w:val="none"/>
            <w:lang w:val="en-US"/>
          </w:rPr>
          <w:t>h</w:t>
        </w:r>
        <w:r>
          <w:rPr>
            <w:rStyle w:val="-"/>
            <w:bCs/>
            <w:color w:val="00000A"/>
            <w:u w:val="none"/>
            <w:lang w:val="en-US"/>
          </w:rPr>
          <w:t>ypoparathyroidism</w:t>
        </w:r>
        <w:r>
          <w:rPr>
            <w:rStyle w:val="-"/>
            <w:lang w:val="en-US"/>
          </w:rPr>
          <w:t> </w:t>
        </w:r>
        <w:r>
          <w:rPr>
            <w:rStyle w:val="-"/>
            <w:color w:val="00000A"/>
            <w:u w:val="none"/>
            <w:lang w:val="en-US"/>
          </w:rPr>
          <w:t>in</w:t>
        </w:r>
        <w:r>
          <w:rPr>
            <w:rStyle w:val="-"/>
            <w:lang w:val="en-US"/>
          </w:rPr>
          <w:t> </w:t>
        </w:r>
        <w:r>
          <w:rPr>
            <w:rStyle w:val="-"/>
            <w:bCs/>
            <w:color w:val="00000A"/>
            <w:u w:val="none"/>
            <w:lang w:val="en-US"/>
          </w:rPr>
          <w:t>Kearns-Sayre</w:t>
        </w:r>
        <w:r>
          <w:rPr>
            <w:rStyle w:val="-"/>
            <w:lang w:val="en-US"/>
          </w:rPr>
          <w:t> </w:t>
        </w:r>
        <w:r>
          <w:rPr>
            <w:rStyle w:val="-"/>
            <w:color w:val="00000A"/>
            <w:u w:val="none"/>
            <w:lang w:val="en-US"/>
          </w:rPr>
          <w:t>syndrome.</w:t>
        </w:r>
      </w:hyperlink>
      <w:r>
        <w:rPr>
          <w:lang w:val="en-US"/>
        </w:rPr>
        <w:t xml:space="preserve"> </w:t>
      </w:r>
      <w:r>
        <w:rPr>
          <w:rStyle w:val="jrnl"/>
          <w:lang w:val="en-US"/>
        </w:rPr>
        <w:t>Am J Nephrol</w:t>
      </w:r>
      <w:r>
        <w:rPr>
          <w:lang w:val="en-US"/>
        </w:rPr>
        <w:t>. 2001 Mar-Apr;21(2):150</w:t>
      </w:r>
      <w:r>
        <w:rPr>
          <w:color w:val="000000"/>
          <w:lang w:val="en-US"/>
        </w:rPr>
        <w:t>-3</w:t>
      </w:r>
    </w:p>
    <w:p w:rsidR="003126E1" w:rsidRDefault="003F0611">
      <w:pPr>
        <w:pStyle w:val="11"/>
        <w:numPr>
          <w:ilvl w:val="0"/>
          <w:numId w:val="13"/>
        </w:numPr>
        <w:shd w:val="clear" w:color="auto" w:fill="FFFFFF"/>
        <w:spacing w:line="360" w:lineRule="auto"/>
      </w:pPr>
      <w:r>
        <w:rPr>
          <w:lang w:val="en-US"/>
        </w:rPr>
        <w:t xml:space="preserve">Hannan FM, Thakker RV. </w:t>
      </w:r>
      <w:hyperlink r:id="rId19">
        <w:r>
          <w:rPr>
            <w:rStyle w:val="-"/>
            <w:color w:val="00000A"/>
            <w:u w:val="none"/>
            <w:lang w:val="en-US"/>
          </w:rPr>
          <w:t>Calcium-sensing receptor (</w:t>
        </w:r>
        <w:r>
          <w:rPr>
            <w:rStyle w:val="-"/>
            <w:bCs/>
            <w:color w:val="00000A"/>
            <w:u w:val="none"/>
            <w:lang w:val="en-US"/>
          </w:rPr>
          <w:t>CaSR</w:t>
        </w:r>
        <w:r>
          <w:rPr>
            <w:rStyle w:val="-"/>
            <w:color w:val="00000A"/>
            <w:u w:val="none"/>
            <w:lang w:val="en-US"/>
          </w:rPr>
          <w:t>) mutations and disorders of calcium, electrolyte and wat</w:t>
        </w:r>
        <w:r>
          <w:rPr>
            <w:rStyle w:val="-"/>
            <w:color w:val="00000A"/>
            <w:u w:val="none"/>
            <w:lang w:val="en-US"/>
          </w:rPr>
          <w:t>er metabolism.</w:t>
        </w:r>
      </w:hyperlink>
      <w:r>
        <w:rPr>
          <w:lang w:val="en-US"/>
        </w:rPr>
        <w:t xml:space="preserve"> </w:t>
      </w:r>
      <w:r>
        <w:rPr>
          <w:rStyle w:val="jrnl"/>
          <w:lang w:val="en-US"/>
        </w:rPr>
        <w:t>Best Pract Res Clin Endocrinol Metab</w:t>
      </w:r>
      <w:r>
        <w:rPr>
          <w:lang w:val="en-US"/>
        </w:rPr>
        <w:t>. 2013 Jun;27(3):359-71</w:t>
      </w:r>
    </w:p>
    <w:p w:rsidR="003126E1" w:rsidRDefault="003F0611">
      <w:pPr>
        <w:pStyle w:val="ae"/>
        <w:numPr>
          <w:ilvl w:val="0"/>
          <w:numId w:val="13"/>
        </w:numPr>
        <w:shd w:val="clear" w:color="auto" w:fill="FFFFFF"/>
        <w:spacing w:before="34" w:after="34" w:line="36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>Díaz-Soto G, Mora-Porta M, Nicolau J, Perea V, Halperin I, Puig-Domingo M.</w:t>
      </w:r>
      <w:r>
        <w:rPr>
          <w:rStyle w:val="jrnl"/>
          <w:rFonts w:ascii="Times New Roman" w:hAnsi="Times New Roman" w:cs="Times New Roman"/>
          <w:sz w:val="24"/>
          <w:szCs w:val="24"/>
          <w:lang w:val="en-US"/>
        </w:rPr>
        <w:t>Horm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  <w:lang w:val="en-US"/>
          </w:rPr>
          <w:t>Efficacy and safety of long term treatm</w:t>
        </w:r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  <w:lang w:val="en-US"/>
          </w:rPr>
          <w:t>ent of unresponsive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 </w:t>
        </w:r>
        <w:r>
          <w:rPr>
            <w:rStyle w:val="-"/>
            <w:rFonts w:ascii="Times New Roman" w:hAnsi="Times New Roman" w:cs="Times New Roman"/>
            <w:bCs/>
            <w:color w:val="00000A"/>
            <w:sz w:val="24"/>
            <w:szCs w:val="24"/>
            <w:u w:val="none"/>
            <w:lang w:val="en-US"/>
          </w:rPr>
          <w:t>hypoparathyroidism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 </w:t>
        </w:r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  <w:lang w:val="en-US"/>
          </w:rPr>
          <w:t>using multipulse subcutaneous infusion of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 </w:t>
        </w:r>
        <w:r>
          <w:rPr>
            <w:rStyle w:val="-"/>
            <w:rFonts w:ascii="Times New Roman" w:hAnsi="Times New Roman" w:cs="Times New Roman"/>
            <w:bCs/>
            <w:color w:val="00000A"/>
            <w:sz w:val="24"/>
            <w:szCs w:val="24"/>
            <w:u w:val="none"/>
            <w:lang w:val="en-US"/>
          </w:rPr>
          <w:t>teriparatide</w:t>
        </w:r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  <w:lang w:val="en-US"/>
          </w:rPr>
          <w:t>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jrnl"/>
          <w:rFonts w:ascii="Times New Roman" w:hAnsi="Times New Roman" w:cs="Times New Roman"/>
          <w:sz w:val="24"/>
          <w:szCs w:val="24"/>
          <w:lang w:val="en-US"/>
        </w:rPr>
        <w:t>Metab Res</w:t>
      </w:r>
      <w:r>
        <w:rPr>
          <w:rFonts w:ascii="Times New Roman" w:hAnsi="Times New Roman" w:cs="Times New Roman"/>
          <w:sz w:val="24"/>
          <w:szCs w:val="24"/>
          <w:lang w:val="en-US"/>
        </w:rPr>
        <w:t>. 2012 Sep;44(9):708-1</w:t>
      </w:r>
    </w:p>
    <w:p w:rsidR="003126E1" w:rsidRDefault="003F0611">
      <w:pPr>
        <w:pStyle w:val="desc"/>
        <w:numPr>
          <w:ilvl w:val="0"/>
          <w:numId w:val="13"/>
        </w:numPr>
        <w:shd w:val="clear" w:color="auto" w:fill="FFFFFF"/>
        <w:spacing w:line="360" w:lineRule="auto"/>
      </w:pPr>
      <w:r>
        <w:rPr>
          <w:bCs/>
          <w:lang w:val="en-US"/>
        </w:rPr>
        <w:t>Husebye</w:t>
      </w:r>
      <w:r>
        <w:rPr>
          <w:lang w:val="en-US"/>
        </w:rPr>
        <w:t xml:space="preserve"> ES, Perheentupa J, Rautemaa R, Kämpe O </w:t>
      </w:r>
      <w:hyperlink r:id="rId21">
        <w:r>
          <w:rPr>
            <w:rStyle w:val="-"/>
            <w:lang w:val="en-US"/>
          </w:rPr>
          <w:t xml:space="preserve">Clinical </w:t>
        </w:r>
        <w:r>
          <w:rPr>
            <w:rStyle w:val="-"/>
            <w:lang w:val="en-US"/>
          </w:rPr>
          <w:t>manifestations and management of patients with </w:t>
        </w:r>
        <w:r>
          <w:rPr>
            <w:rStyle w:val="-"/>
            <w:bCs/>
            <w:lang w:val="en-US"/>
          </w:rPr>
          <w:t>autoimmune</w:t>
        </w:r>
        <w:r>
          <w:rPr>
            <w:rStyle w:val="-"/>
            <w:lang w:val="en-US"/>
          </w:rPr>
          <w:t> polyendocrine syndrome type I.</w:t>
        </w:r>
      </w:hyperlink>
      <w:r>
        <w:rPr>
          <w:lang w:val="en-US"/>
        </w:rPr>
        <w:t>. J Intern Med. 2009 May;265(5):514-2</w:t>
      </w:r>
    </w:p>
    <w:p w:rsidR="003126E1" w:rsidRDefault="003F0611">
      <w:pPr>
        <w:pStyle w:val="11"/>
        <w:numPr>
          <w:ilvl w:val="0"/>
          <w:numId w:val="13"/>
        </w:numPr>
        <w:shd w:val="clear" w:color="auto" w:fill="FFFFFF"/>
        <w:spacing w:line="360" w:lineRule="auto"/>
      </w:pPr>
      <w:r>
        <w:rPr>
          <w:lang w:val="en-US"/>
        </w:rPr>
        <w:lastRenderedPageBreak/>
        <w:t xml:space="preserve">Cusano NE, Rubin MR, Sliney J Jr, Bilezikian JP. </w:t>
      </w:r>
      <w:hyperlink r:id="rId22">
        <w:r>
          <w:rPr>
            <w:rStyle w:val="-"/>
            <w:color w:val="00000A"/>
            <w:u w:val="none"/>
            <w:lang w:val="en-US"/>
          </w:rPr>
          <w:t>Mini-</w:t>
        </w:r>
        <w:r>
          <w:rPr>
            <w:rStyle w:val="-"/>
            <w:bCs/>
            <w:color w:val="00000A"/>
            <w:u w:val="none"/>
            <w:lang w:val="en-US"/>
          </w:rPr>
          <w:t>review</w:t>
        </w:r>
        <w:r>
          <w:rPr>
            <w:rStyle w:val="-"/>
            <w:color w:val="00000A"/>
            <w:u w:val="none"/>
            <w:lang w:val="en-US"/>
          </w:rPr>
          <w:t>: new t</w:t>
        </w:r>
        <w:r>
          <w:rPr>
            <w:rStyle w:val="-"/>
            <w:color w:val="00000A"/>
            <w:u w:val="none"/>
            <w:lang w:val="en-US"/>
          </w:rPr>
          <w:t>herapeutic options in</w:t>
        </w:r>
        <w:r>
          <w:rPr>
            <w:rStyle w:val="-"/>
            <w:lang w:val="en-US"/>
          </w:rPr>
          <w:t> </w:t>
        </w:r>
        <w:r>
          <w:rPr>
            <w:rStyle w:val="-"/>
            <w:bCs/>
            <w:color w:val="00000A"/>
            <w:u w:val="none"/>
            <w:lang w:val="en-US"/>
          </w:rPr>
          <w:t>hypoparathyroidism</w:t>
        </w:r>
        <w:r>
          <w:rPr>
            <w:rStyle w:val="-"/>
            <w:color w:val="00000A"/>
            <w:u w:val="none"/>
            <w:lang w:val="en-US"/>
          </w:rPr>
          <w:t>.</w:t>
        </w:r>
      </w:hyperlink>
      <w:r>
        <w:rPr>
          <w:lang w:val="en-US"/>
        </w:rPr>
        <w:t xml:space="preserve"> </w:t>
      </w:r>
      <w:r>
        <w:rPr>
          <w:rStyle w:val="jrnl"/>
          <w:lang w:val="en-US"/>
        </w:rPr>
        <w:t>Endocrine</w:t>
      </w:r>
      <w:r>
        <w:rPr>
          <w:lang w:val="en-US"/>
        </w:rPr>
        <w:t>. 2012 Jun;41(3):410-4</w:t>
      </w:r>
    </w:p>
    <w:p w:rsidR="003126E1" w:rsidRDefault="003126E1">
      <w:pPr>
        <w:pStyle w:val="11"/>
        <w:shd w:val="clear" w:color="auto" w:fill="FFFFFF"/>
        <w:spacing w:line="360" w:lineRule="auto"/>
        <w:ind w:left="360"/>
      </w:pPr>
    </w:p>
    <w:p w:rsidR="003126E1" w:rsidRDefault="003126E1">
      <w:pPr>
        <w:pStyle w:val="desc"/>
        <w:shd w:val="clear" w:color="auto" w:fill="FFFFFF"/>
        <w:spacing w:line="360" w:lineRule="auto"/>
        <w:ind w:left="360"/>
      </w:pPr>
    </w:p>
    <w:p w:rsidR="003126E1" w:rsidRDefault="003126E1">
      <w:pPr>
        <w:pStyle w:val="desc"/>
        <w:shd w:val="clear" w:color="auto" w:fill="FFFFFF"/>
        <w:spacing w:line="270" w:lineRule="atLeast"/>
        <w:ind w:left="360"/>
      </w:pPr>
    </w:p>
    <w:p w:rsidR="003126E1" w:rsidRDefault="003126E1">
      <w:pPr>
        <w:pStyle w:val="a0"/>
        <w:shd w:val="clear" w:color="auto" w:fill="FFFFFF"/>
        <w:spacing w:before="34" w:after="34" w:line="270" w:lineRule="atLeast"/>
      </w:pPr>
    </w:p>
    <w:p w:rsidR="003126E1" w:rsidRDefault="003126E1">
      <w:pPr>
        <w:pStyle w:val="a0"/>
      </w:pPr>
    </w:p>
    <w:p w:rsidR="003126E1" w:rsidRDefault="003126E1">
      <w:pPr>
        <w:pStyle w:val="a0"/>
      </w:pPr>
    </w:p>
    <w:p w:rsidR="003126E1" w:rsidRDefault="003126E1">
      <w:pPr>
        <w:pStyle w:val="a0"/>
      </w:pPr>
    </w:p>
    <w:p w:rsidR="003126E1" w:rsidRDefault="003126E1">
      <w:pPr>
        <w:pStyle w:val="a0"/>
      </w:pPr>
    </w:p>
    <w:sectPr w:rsidR="003126E1">
      <w:footerReference w:type="default" r:id="rId23"/>
      <w:pgSz w:w="11906" w:h="16838"/>
      <w:pgMar w:top="1134" w:right="1701" w:bottom="1134" w:left="85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11" w:rsidRDefault="003F0611">
      <w:pPr>
        <w:spacing w:after="0" w:line="240" w:lineRule="auto"/>
      </w:pPr>
      <w:r>
        <w:separator/>
      </w:r>
    </w:p>
  </w:endnote>
  <w:endnote w:type="continuationSeparator" w:id="0">
    <w:p w:rsidR="003F0611" w:rsidRDefault="003F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E1" w:rsidRDefault="003F0611">
    <w:pPr>
      <w:pStyle w:val="af3"/>
      <w:jc w:val="right"/>
    </w:pPr>
    <w:r>
      <w:fldChar w:fldCharType="begin"/>
    </w:r>
    <w:r>
      <w:instrText>PAGE</w:instrText>
    </w:r>
    <w:r>
      <w:fldChar w:fldCharType="separate"/>
    </w:r>
    <w:r w:rsidR="003D180E">
      <w:rPr>
        <w:noProof/>
      </w:rPr>
      <w:t>1</w:t>
    </w:r>
    <w:r>
      <w:fldChar w:fldCharType="end"/>
    </w:r>
  </w:p>
  <w:p w:rsidR="003126E1" w:rsidRDefault="003126E1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E1" w:rsidRDefault="003F0611">
    <w:pPr>
      <w:pStyle w:val="af3"/>
      <w:jc w:val="right"/>
    </w:pPr>
    <w:r>
      <w:fldChar w:fldCharType="begin"/>
    </w:r>
    <w:r>
      <w:instrText>PAGE</w:instrText>
    </w:r>
    <w:r>
      <w:fldChar w:fldCharType="separate"/>
    </w:r>
    <w:r w:rsidR="003D180E">
      <w:rPr>
        <w:noProof/>
      </w:rPr>
      <w:t>18</w:t>
    </w:r>
    <w:r>
      <w:fldChar w:fldCharType="end"/>
    </w:r>
  </w:p>
  <w:p w:rsidR="003126E1" w:rsidRDefault="003126E1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E1" w:rsidRDefault="003F0611">
    <w:pPr>
      <w:pStyle w:val="af3"/>
      <w:jc w:val="right"/>
    </w:pPr>
    <w:r>
      <w:fldChar w:fldCharType="begin"/>
    </w:r>
    <w:r>
      <w:instrText>PAGE</w:instrText>
    </w:r>
    <w:r>
      <w:fldChar w:fldCharType="separate"/>
    </w:r>
    <w:r w:rsidR="003D180E">
      <w:rPr>
        <w:noProof/>
      </w:rPr>
      <w:t>22</w:t>
    </w:r>
    <w:r>
      <w:fldChar w:fldCharType="end"/>
    </w:r>
  </w:p>
  <w:p w:rsidR="003126E1" w:rsidRDefault="003126E1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E1" w:rsidRDefault="003F0611">
    <w:pPr>
      <w:pStyle w:val="af3"/>
      <w:jc w:val="right"/>
    </w:pPr>
    <w:r>
      <w:fldChar w:fldCharType="begin"/>
    </w:r>
    <w:r>
      <w:instrText>PAGE</w:instrText>
    </w:r>
    <w:r>
      <w:fldChar w:fldCharType="separate"/>
    </w:r>
    <w:r w:rsidR="003D180E">
      <w:rPr>
        <w:noProof/>
      </w:rPr>
      <w:t>25</w:t>
    </w:r>
    <w:r>
      <w:fldChar w:fldCharType="end"/>
    </w:r>
  </w:p>
  <w:p w:rsidR="003126E1" w:rsidRDefault="003126E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11" w:rsidRDefault="003F0611">
      <w:pPr>
        <w:spacing w:after="0" w:line="240" w:lineRule="auto"/>
      </w:pPr>
      <w:r>
        <w:separator/>
      </w:r>
    </w:p>
  </w:footnote>
  <w:footnote w:type="continuationSeparator" w:id="0">
    <w:p w:rsidR="003F0611" w:rsidRDefault="003F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46A"/>
    <w:multiLevelType w:val="multilevel"/>
    <w:tmpl w:val="E52453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A410910"/>
    <w:multiLevelType w:val="multilevel"/>
    <w:tmpl w:val="A6A45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C0701"/>
    <w:multiLevelType w:val="multilevel"/>
    <w:tmpl w:val="D6BECC7C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56E1607"/>
    <w:multiLevelType w:val="multilevel"/>
    <w:tmpl w:val="838ABC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ACD3DE1"/>
    <w:multiLevelType w:val="multilevel"/>
    <w:tmpl w:val="39E0B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4F717C3"/>
    <w:multiLevelType w:val="multilevel"/>
    <w:tmpl w:val="AB0EA240"/>
    <w:lvl w:ilvl="0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69" w:hanging="360"/>
      </w:pPr>
      <w:rPr>
        <w:rFonts w:ascii="Wingdings" w:hAnsi="Wingdings" w:cs="Wingdings" w:hint="default"/>
      </w:rPr>
    </w:lvl>
  </w:abstractNum>
  <w:abstractNum w:abstractNumId="6">
    <w:nsid w:val="43C51C30"/>
    <w:multiLevelType w:val="multilevel"/>
    <w:tmpl w:val="3214994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68642CF"/>
    <w:multiLevelType w:val="multilevel"/>
    <w:tmpl w:val="60F060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DCA0153"/>
    <w:multiLevelType w:val="multilevel"/>
    <w:tmpl w:val="0D54990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E642031"/>
    <w:multiLevelType w:val="multilevel"/>
    <w:tmpl w:val="569E52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679E5E29"/>
    <w:multiLevelType w:val="multilevel"/>
    <w:tmpl w:val="2FAC461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751F65C3"/>
    <w:multiLevelType w:val="multilevel"/>
    <w:tmpl w:val="5692B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7823E7"/>
    <w:multiLevelType w:val="multilevel"/>
    <w:tmpl w:val="298E9A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83724"/>
    <w:multiLevelType w:val="multilevel"/>
    <w:tmpl w:val="3E36FCE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E1"/>
    <w:rsid w:val="003126E1"/>
    <w:rsid w:val="003D180E"/>
    <w:rsid w:val="003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pacing w:before="240" w:after="60" w:line="100" w:lineRule="atLeast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0"/>
    <w:next w:val="a1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Calibri" w:eastAsia="Droid Sans Fallback" w:hAnsi="Calibri"/>
    </w:rPr>
  </w:style>
  <w:style w:type="character" w:customStyle="1" w:styleId="10">
    <w:name w:val="Заголовок 1 Знак"/>
    <w:basedOn w:val="a2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2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ascii="Arial" w:eastAsia="Times New Roman" w:hAnsi="Arial" w:cs="Times New Roman"/>
      <w:b/>
      <w:sz w:val="24"/>
      <w:szCs w:val="24"/>
      <w:u w:val="single"/>
      <w:lang w:eastAsia="ru-RU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6">
    <w:name w:val="Текст выноски Знак"/>
    <w:basedOn w:val="a2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2"/>
  </w:style>
  <w:style w:type="character" w:customStyle="1" w:styleId="a8">
    <w:name w:val="Нижний колонтитул Знак"/>
    <w:basedOn w:val="a2"/>
  </w:style>
  <w:style w:type="character" w:customStyle="1" w:styleId="producteditors">
    <w:name w:val="product_editors"/>
    <w:basedOn w:val="a2"/>
  </w:style>
  <w:style w:type="character" w:customStyle="1" w:styleId="apple-converted-space">
    <w:name w:val="apple-converted-space"/>
    <w:basedOn w:val="a2"/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jrnl">
    <w:name w:val="jrnl"/>
    <w:basedOn w:val="a2"/>
  </w:style>
  <w:style w:type="character" w:customStyle="1" w:styleId="a9">
    <w:name w:val="Выделение жирным"/>
    <w:basedOn w:val="a2"/>
    <w:rPr>
      <w:b/>
      <w:bCs/>
    </w:rPr>
  </w:style>
  <w:style w:type="character" w:customStyle="1" w:styleId="Title02">
    <w:name w:val="Title_02 Знак"/>
    <w:basedOn w:val="20"/>
    <w:rPr>
      <w:rFonts w:ascii="Arial" w:eastAsia="Times New Roman" w:hAnsi="Arial" w:cs="Times New Roman"/>
      <w:b/>
      <w:bCs/>
      <w:i/>
      <w:iCs/>
      <w:color w:val="FF00FF"/>
      <w:sz w:val="28"/>
      <w:szCs w:val="20"/>
      <w:lang w:eastAsia="ru-RU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b">
    <w:name w:val="List"/>
    <w:basedOn w:val="a1"/>
    <w:rPr>
      <w:rFonts w:cs="Lucida Sans"/>
    </w:rPr>
  </w:style>
  <w:style w:type="paragraph" w:styleId="ac">
    <w:name w:val="Title"/>
    <w:basedOn w:val="a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0"/>
    <w:pPr>
      <w:suppressLineNumbers/>
    </w:pPr>
    <w:rPr>
      <w:rFonts w:cs="Lucida Sans"/>
    </w:rPr>
  </w:style>
  <w:style w:type="paragraph" w:styleId="ae">
    <w:name w:val="List Paragraph"/>
    <w:basedOn w:val="a0"/>
    <w:pPr>
      <w:ind w:left="720"/>
    </w:pPr>
  </w:style>
  <w:style w:type="paragraph" w:styleId="af">
    <w:name w:val="Body Text Indent"/>
    <w:basedOn w:val="a0"/>
    <w:pPr>
      <w:spacing w:after="0" w:line="360" w:lineRule="auto"/>
      <w:ind w:left="283" w:firstLine="709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af0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1">
    <w:name w:val="Normal (Web)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3">
    <w:name w:val="footer"/>
    <w:basedOn w:val="a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1">
    <w:name w:val="Название1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020">
    <w:name w:val="Title_02"/>
    <w:basedOn w:val="2"/>
    <w:pPr>
      <w:keepLines/>
      <w:widowControl w:val="0"/>
      <w:suppressLineNumbers/>
      <w:spacing w:before="360" w:after="80" w:line="360" w:lineRule="auto"/>
      <w:ind w:left="113" w:hanging="113"/>
      <w:jc w:val="center"/>
      <w:textAlignment w:val="baseline"/>
      <w:outlineLvl w:val="9"/>
    </w:pPr>
    <w:rPr>
      <w:rFonts w:eastAsia="Times New Roman" w:cs="Times New Roman"/>
      <w:bCs w:val="0"/>
      <w:i w:val="0"/>
      <w:iCs w:val="0"/>
      <w:color w:val="FF00F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pacing w:before="240" w:after="60" w:line="100" w:lineRule="atLeast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0"/>
    <w:next w:val="a1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Calibri" w:eastAsia="Droid Sans Fallback" w:hAnsi="Calibri"/>
    </w:rPr>
  </w:style>
  <w:style w:type="character" w:customStyle="1" w:styleId="10">
    <w:name w:val="Заголовок 1 Знак"/>
    <w:basedOn w:val="a2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2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ascii="Arial" w:eastAsia="Times New Roman" w:hAnsi="Arial" w:cs="Times New Roman"/>
      <w:b/>
      <w:sz w:val="24"/>
      <w:szCs w:val="24"/>
      <w:u w:val="single"/>
      <w:lang w:eastAsia="ru-RU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6">
    <w:name w:val="Текст выноски Знак"/>
    <w:basedOn w:val="a2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2"/>
  </w:style>
  <w:style w:type="character" w:customStyle="1" w:styleId="a8">
    <w:name w:val="Нижний колонтитул Знак"/>
    <w:basedOn w:val="a2"/>
  </w:style>
  <w:style w:type="character" w:customStyle="1" w:styleId="producteditors">
    <w:name w:val="product_editors"/>
    <w:basedOn w:val="a2"/>
  </w:style>
  <w:style w:type="character" w:customStyle="1" w:styleId="apple-converted-space">
    <w:name w:val="apple-converted-space"/>
    <w:basedOn w:val="a2"/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jrnl">
    <w:name w:val="jrnl"/>
    <w:basedOn w:val="a2"/>
  </w:style>
  <w:style w:type="character" w:customStyle="1" w:styleId="a9">
    <w:name w:val="Выделение жирным"/>
    <w:basedOn w:val="a2"/>
    <w:rPr>
      <w:b/>
      <w:bCs/>
    </w:rPr>
  </w:style>
  <w:style w:type="character" w:customStyle="1" w:styleId="Title02">
    <w:name w:val="Title_02 Знак"/>
    <w:basedOn w:val="20"/>
    <w:rPr>
      <w:rFonts w:ascii="Arial" w:eastAsia="Times New Roman" w:hAnsi="Arial" w:cs="Times New Roman"/>
      <w:b/>
      <w:bCs/>
      <w:i/>
      <w:iCs/>
      <w:color w:val="FF00FF"/>
      <w:sz w:val="28"/>
      <w:szCs w:val="20"/>
      <w:lang w:eastAsia="ru-RU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b">
    <w:name w:val="List"/>
    <w:basedOn w:val="a1"/>
    <w:rPr>
      <w:rFonts w:cs="Lucida Sans"/>
    </w:rPr>
  </w:style>
  <w:style w:type="paragraph" w:styleId="ac">
    <w:name w:val="Title"/>
    <w:basedOn w:val="a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0"/>
    <w:pPr>
      <w:suppressLineNumbers/>
    </w:pPr>
    <w:rPr>
      <w:rFonts w:cs="Lucida Sans"/>
    </w:rPr>
  </w:style>
  <w:style w:type="paragraph" w:styleId="ae">
    <w:name w:val="List Paragraph"/>
    <w:basedOn w:val="a0"/>
    <w:pPr>
      <w:ind w:left="720"/>
    </w:pPr>
  </w:style>
  <w:style w:type="paragraph" w:styleId="af">
    <w:name w:val="Body Text Indent"/>
    <w:basedOn w:val="a0"/>
    <w:pPr>
      <w:spacing w:after="0" w:line="360" w:lineRule="auto"/>
      <w:ind w:left="283" w:firstLine="709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af0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1">
    <w:name w:val="Normal (Web)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3">
    <w:name w:val="footer"/>
    <w:basedOn w:val="a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1">
    <w:name w:val="Название1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020">
    <w:name w:val="Title_02"/>
    <w:basedOn w:val="2"/>
    <w:pPr>
      <w:keepLines/>
      <w:widowControl w:val="0"/>
      <w:suppressLineNumbers/>
      <w:spacing w:before="360" w:after="80" w:line="360" w:lineRule="auto"/>
      <w:ind w:left="113" w:hanging="113"/>
      <w:jc w:val="center"/>
      <w:textAlignment w:val="baseline"/>
      <w:outlineLvl w:val="9"/>
    </w:pPr>
    <w:rPr>
      <w:rFonts w:eastAsia="Times New Roman" w:cs="Times New Roman"/>
      <w:bCs w:val="0"/>
      <w:i w:val="0"/>
      <w:iCs w:val="0"/>
      <w:color w:val="FF00F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cbi.nlm.nih.gov/pubmed/23757620" TargetMode="External"/><Relationship Id="rId18" Type="http://schemas.openxmlformats.org/officeDocument/2006/relationships/hyperlink" Target="http://www.ncbi.nlm.nih.gov/pubmed/1135902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pubmed/1938299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arger.com/BookSeries/Home/224190" TargetMode="External"/><Relationship Id="rId17" Type="http://schemas.openxmlformats.org/officeDocument/2006/relationships/hyperlink" Target="http://www.ncbi.nlm.nih.gov/pubmed/2157008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19959750" TargetMode="External"/><Relationship Id="rId20" Type="http://schemas.openxmlformats.org/officeDocument/2006/relationships/hyperlink" Target="http://www.ncbi.nlm.nih.gov/pubmed/2247375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21816789" TargetMode="External"/><Relationship Id="rId23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hyperlink" Target="http://www.ncbi.nlm.nih.gov/pubmed/23856265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ncbi.nlm.nih.gov/pubmed/21606191" TargetMode="External"/><Relationship Id="rId22" Type="http://schemas.openxmlformats.org/officeDocument/2006/relationships/hyperlink" Target="http://www.ncbi.nlm.nih.gov/pubmed/22311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HP</cp:lastModifiedBy>
  <cp:revision>2</cp:revision>
  <cp:lastPrinted>2014-03-06T10:09:00Z</cp:lastPrinted>
  <dcterms:created xsi:type="dcterms:W3CDTF">2015-03-18T10:23:00Z</dcterms:created>
  <dcterms:modified xsi:type="dcterms:W3CDTF">2015-03-18T10:23:00Z</dcterms:modified>
</cp:coreProperties>
</file>