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6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5F3FC6">
        <w:rPr>
          <w:rFonts w:ascii="Times New Roman" w:hAnsi="Times New Roman" w:cs="Times New Roman"/>
          <w:sz w:val="24"/>
          <w:szCs w:val="28"/>
        </w:rPr>
        <w:t>Войно-Ясенецкого</w:t>
      </w:r>
      <w:proofErr w:type="spellEnd"/>
      <w:r w:rsidRPr="005F3FC6">
        <w:rPr>
          <w:rFonts w:ascii="Times New Roman" w:hAnsi="Times New Roman" w:cs="Times New Roman"/>
          <w:sz w:val="24"/>
          <w:szCs w:val="28"/>
        </w:rPr>
        <w:t>» Министерства здравоохранения Российской Федерации.</w:t>
      </w:r>
    </w:p>
    <w:p w:rsidR="00F13898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898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КАФЕДРА</w:t>
      </w:r>
    </w:p>
    <w:p w:rsidR="00F13898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ЛОР-болезней с курсом 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662724" w:rsidRPr="005F3FC6" w:rsidRDefault="00662724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898" w:rsidRPr="005F3FC6" w:rsidRDefault="00F13898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Рецензия &lt;</w:t>
      </w:r>
      <w:r w:rsidR="002B1F8C" w:rsidRPr="005F3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C7A21">
        <w:rPr>
          <w:rFonts w:ascii="Times New Roman" w:hAnsi="Times New Roman" w:cs="Times New Roman"/>
          <w:sz w:val="24"/>
          <w:szCs w:val="28"/>
        </w:rPr>
        <w:t>к.м.н</w:t>
      </w:r>
      <w:proofErr w:type="spellEnd"/>
      <w:r w:rsidR="000C7A21">
        <w:rPr>
          <w:rFonts w:ascii="Times New Roman" w:hAnsi="Times New Roman" w:cs="Times New Roman"/>
          <w:sz w:val="24"/>
          <w:szCs w:val="28"/>
        </w:rPr>
        <w:t>, доцента кафедры ЛОР-болезней с курсом ПО Петровой М.А.</w:t>
      </w:r>
      <w:r w:rsidRPr="005F3FC6">
        <w:rPr>
          <w:rFonts w:ascii="Times New Roman" w:hAnsi="Times New Roman" w:cs="Times New Roman"/>
          <w:sz w:val="24"/>
          <w:szCs w:val="28"/>
        </w:rPr>
        <w:t>&gt;  на реферат ординатора первого года обучения специальности Оториноларингология &lt;</w:t>
      </w:r>
      <w:proofErr w:type="spellStart"/>
      <w:r w:rsidR="00674499" w:rsidRPr="005F3FC6">
        <w:rPr>
          <w:rFonts w:ascii="Times New Roman" w:hAnsi="Times New Roman" w:cs="Times New Roman"/>
          <w:sz w:val="24"/>
          <w:szCs w:val="28"/>
        </w:rPr>
        <w:t>Нестеришиной</w:t>
      </w:r>
      <w:proofErr w:type="spellEnd"/>
      <w:r w:rsidR="00674499" w:rsidRPr="005F3FC6">
        <w:rPr>
          <w:rFonts w:ascii="Times New Roman" w:hAnsi="Times New Roman" w:cs="Times New Roman"/>
          <w:sz w:val="24"/>
          <w:szCs w:val="28"/>
        </w:rPr>
        <w:t xml:space="preserve"> Ольги Евгеньевны</w:t>
      </w:r>
      <w:r w:rsidRPr="005F3FC6">
        <w:rPr>
          <w:rFonts w:ascii="Times New Roman" w:hAnsi="Times New Roman" w:cs="Times New Roman"/>
          <w:sz w:val="24"/>
          <w:szCs w:val="28"/>
        </w:rPr>
        <w:t xml:space="preserve">&gt; по теме: </w:t>
      </w:r>
      <w:r w:rsidR="00B177CE" w:rsidRPr="005F3FC6">
        <w:rPr>
          <w:rFonts w:ascii="Times New Roman" w:hAnsi="Times New Roman" w:cs="Times New Roman"/>
          <w:sz w:val="24"/>
          <w:szCs w:val="28"/>
        </w:rPr>
        <w:t>&lt;</w:t>
      </w:r>
      <w:r w:rsidR="000C7A21">
        <w:rPr>
          <w:rFonts w:ascii="Times New Roman" w:hAnsi="Times New Roman" w:cs="Times New Roman"/>
          <w:sz w:val="24"/>
          <w:szCs w:val="28"/>
        </w:rPr>
        <w:t>Отосклероз</w:t>
      </w:r>
      <w:r w:rsidR="00B177CE" w:rsidRPr="005F3FC6">
        <w:rPr>
          <w:rFonts w:ascii="Times New Roman" w:hAnsi="Times New Roman" w:cs="Times New Roman"/>
          <w:sz w:val="24"/>
          <w:szCs w:val="28"/>
        </w:rPr>
        <w:t>&gt;.</w:t>
      </w:r>
    </w:p>
    <w:p w:rsidR="00B177CE" w:rsidRPr="005F3FC6" w:rsidRDefault="00B177CE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способен</w:t>
      </w:r>
      <w:proofErr w:type="gramEnd"/>
      <w:r w:rsidRPr="005F3FC6">
        <w:rPr>
          <w:rFonts w:ascii="Times New Roman" w:hAnsi="Times New Roman" w:cs="Times New Roman"/>
          <w:sz w:val="24"/>
          <w:szCs w:val="28"/>
        </w:rPr>
        <w:t xml:space="preserve"> аргументировано защищать свою точку зрения. Написание реферата производится в произвольной форме, однако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B177CE" w:rsidRPr="005F3FC6" w:rsidRDefault="00B177CE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Основные оценочные критерии рецензии на реферат ординатора первого года обучения специальности Оториноларингология: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979"/>
      </w:tblGrid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Оценочный критерий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Положительный/отрицательный</w:t>
            </w: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Структурированность;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Наличие орфографических ошибок;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Соответствие текста реферата по его теме;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Владение терминологией;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Полнота и глубина раскрытия основных понятий темы;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Логичность доказательной базы;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Умение аргументировать основные положения и выводы;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Круг использования известных научных источников;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Умение сделать общий вывод.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177CE" w:rsidRPr="005F3FC6" w:rsidRDefault="00B177CE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Итоговая оценка: положительная/отрицательная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Комментарии рецензента: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Дата:          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Подпись рецензента: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Подпись ординатора:</w:t>
      </w:r>
    </w:p>
    <w:p w:rsidR="00B96110" w:rsidRPr="005F3FC6" w:rsidRDefault="00B96110" w:rsidP="00E763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E763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5F3FC6">
        <w:rPr>
          <w:rFonts w:ascii="Times New Roman" w:hAnsi="Times New Roman" w:cs="Times New Roman"/>
          <w:sz w:val="24"/>
          <w:szCs w:val="28"/>
        </w:rPr>
        <w:t>Войно-Ясенецкого</w:t>
      </w:r>
      <w:proofErr w:type="spellEnd"/>
      <w:r w:rsidRPr="005F3FC6">
        <w:rPr>
          <w:rFonts w:ascii="Times New Roman" w:hAnsi="Times New Roman" w:cs="Times New Roman"/>
          <w:sz w:val="24"/>
          <w:szCs w:val="28"/>
        </w:rPr>
        <w:t>» Министерства здравоохранения Российской Федерации.</w:t>
      </w: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Кафедра ЛОР-болезней с курсом 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F3FC6">
        <w:rPr>
          <w:rFonts w:ascii="Times New Roman" w:hAnsi="Times New Roman" w:cs="Times New Roman"/>
          <w:sz w:val="36"/>
          <w:szCs w:val="28"/>
        </w:rPr>
        <w:t>РЕФЕРАТ</w:t>
      </w:r>
    </w:p>
    <w:p w:rsidR="00AA6498" w:rsidRPr="005F3FC6" w:rsidRDefault="00C06312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Отосклероз</w:t>
      </w:r>
      <w:bookmarkStart w:id="0" w:name="_GoBack"/>
      <w:bookmarkEnd w:id="0"/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5F3FC6">
        <w:rPr>
          <w:rFonts w:ascii="Times New Roman" w:hAnsi="Times New Roman" w:cs="Times New Roman"/>
          <w:sz w:val="24"/>
          <w:szCs w:val="28"/>
        </w:rPr>
        <w:t>Зав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5F3FC6">
        <w:rPr>
          <w:rFonts w:ascii="Times New Roman" w:hAnsi="Times New Roman" w:cs="Times New Roman"/>
          <w:sz w:val="24"/>
          <w:szCs w:val="28"/>
        </w:rPr>
        <w:t>афедрой</w:t>
      </w:r>
      <w:proofErr w:type="spellEnd"/>
      <w:r w:rsidRPr="005F3FC6">
        <w:rPr>
          <w:rFonts w:ascii="Times New Roman" w:hAnsi="Times New Roman" w:cs="Times New Roman"/>
          <w:sz w:val="24"/>
          <w:szCs w:val="28"/>
        </w:rPr>
        <w:t>: д.м.н., проф. Вахрушев С.Г.</w:t>
      </w:r>
    </w:p>
    <w:p w:rsidR="00AA6498" w:rsidRPr="005F3FC6" w:rsidRDefault="00674499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Проверила: </w:t>
      </w:r>
      <w:proofErr w:type="spellStart"/>
      <w:r w:rsidR="00D956E5">
        <w:rPr>
          <w:rFonts w:ascii="Times New Roman" w:hAnsi="Times New Roman" w:cs="Times New Roman"/>
          <w:sz w:val="24"/>
          <w:szCs w:val="28"/>
        </w:rPr>
        <w:t>к.м</w:t>
      </w:r>
      <w:proofErr w:type="gramStart"/>
      <w:r w:rsidR="00D956E5">
        <w:rPr>
          <w:rFonts w:ascii="Times New Roman" w:hAnsi="Times New Roman" w:cs="Times New Roman"/>
          <w:sz w:val="24"/>
          <w:szCs w:val="28"/>
        </w:rPr>
        <w:t>.н</w:t>
      </w:r>
      <w:proofErr w:type="spellEnd"/>
      <w:proofErr w:type="gramEnd"/>
      <w:r w:rsidR="00D956E5">
        <w:rPr>
          <w:rFonts w:ascii="Times New Roman" w:hAnsi="Times New Roman" w:cs="Times New Roman"/>
          <w:sz w:val="24"/>
          <w:szCs w:val="28"/>
        </w:rPr>
        <w:t>, доцент Петрова М.А.</w:t>
      </w: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Выполнила: ординат</w:t>
      </w:r>
      <w:r w:rsidR="003541E9" w:rsidRPr="005F3FC6">
        <w:rPr>
          <w:rFonts w:ascii="Times New Roman" w:hAnsi="Times New Roman" w:cs="Times New Roman"/>
          <w:sz w:val="24"/>
          <w:szCs w:val="28"/>
        </w:rPr>
        <w:t xml:space="preserve">ор 1 года обучения </w:t>
      </w:r>
      <w:proofErr w:type="spellStart"/>
      <w:r w:rsidR="00674499" w:rsidRPr="005F3FC6">
        <w:rPr>
          <w:rFonts w:ascii="Times New Roman" w:hAnsi="Times New Roman" w:cs="Times New Roman"/>
          <w:sz w:val="24"/>
          <w:szCs w:val="28"/>
        </w:rPr>
        <w:t>Нестеришина</w:t>
      </w:r>
      <w:proofErr w:type="spellEnd"/>
      <w:r w:rsidR="00674499" w:rsidRPr="005F3FC6">
        <w:rPr>
          <w:rFonts w:ascii="Times New Roman" w:hAnsi="Times New Roman" w:cs="Times New Roman"/>
          <w:sz w:val="24"/>
          <w:szCs w:val="28"/>
        </w:rPr>
        <w:t xml:space="preserve"> О.Е.</w:t>
      </w: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B716E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4499" w:rsidRPr="005F3FC6" w:rsidRDefault="00674499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74499" w:rsidRPr="005F3FC6" w:rsidRDefault="00674499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3541E9" w:rsidP="00D956E5">
      <w:pPr>
        <w:spacing w:after="0" w:line="276" w:lineRule="auto"/>
        <w:ind w:left="2124" w:firstLine="708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Красноярск, 20</w:t>
      </w:r>
      <w:r w:rsidR="00D956E5">
        <w:rPr>
          <w:rFonts w:ascii="Times New Roman" w:hAnsi="Times New Roman" w:cs="Times New Roman"/>
          <w:sz w:val="24"/>
          <w:szCs w:val="28"/>
        </w:rPr>
        <w:t>21</w:t>
      </w: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F3FC6">
        <w:rPr>
          <w:rFonts w:ascii="Times New Roman" w:hAnsi="Times New Roman" w:cs="Times New Roman"/>
          <w:sz w:val="32"/>
          <w:szCs w:val="32"/>
        </w:rPr>
        <w:lastRenderedPageBreak/>
        <w:t>Содержание: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9873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B1F8C" w:rsidRPr="005F3FC6" w:rsidRDefault="002B1F8C">
          <w:pPr>
            <w:pStyle w:val="a5"/>
            <w:rPr>
              <w:rFonts w:ascii="Times New Roman" w:hAnsi="Times New Roman" w:cs="Times New Roman"/>
              <w:color w:val="auto"/>
              <w:sz w:val="32"/>
            </w:rPr>
          </w:pPr>
        </w:p>
        <w:p w:rsidR="002B1F8C" w:rsidRPr="005F3FC6" w:rsidRDefault="00D956E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Понятие отосклероза</w:t>
          </w:r>
          <w:r w:rsidR="002B1F8C" w:rsidRPr="005F3FC6">
            <w:rPr>
              <w:rFonts w:ascii="Times New Roman" w:hAnsi="Times New Roman" w:cs="Times New Roman"/>
              <w:sz w:val="24"/>
            </w:rPr>
            <w:fldChar w:fldCharType="begin"/>
          </w:r>
          <w:r w:rsidR="002B1F8C" w:rsidRPr="005F3FC6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="002B1F8C" w:rsidRPr="005F3FC6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532470506" w:history="1"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C7A21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</w:hyperlink>
        </w:p>
        <w:p w:rsidR="002B1F8C" w:rsidRPr="005F3FC6" w:rsidRDefault="00BE47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07" w:history="1">
            <w:r w:rsidR="00A518D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</w:rPr>
              <w:t>Этиология и патогенез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C7A21">
            <w:rPr>
              <w:rFonts w:ascii="Times New Roman" w:hAnsi="Times New Roman" w:cs="Times New Roman"/>
              <w:noProof/>
              <w:sz w:val="24"/>
            </w:rPr>
            <w:t>4</w:t>
          </w:r>
        </w:p>
        <w:p w:rsidR="002B1F8C" w:rsidRPr="005F3FC6" w:rsidRDefault="00BE47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08" w:history="1">
            <w:r w:rsidR="00A518D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4"/>
              </w:rPr>
              <w:t>Эпидемиология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_Toc532470508 \h </w:instrTex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  <w:r w:rsidR="000C7A21">
            <w:rPr>
              <w:rFonts w:ascii="Times New Roman" w:hAnsi="Times New Roman" w:cs="Times New Roman"/>
              <w:noProof/>
              <w:sz w:val="24"/>
            </w:rPr>
            <w:t>5</w:t>
          </w:r>
        </w:p>
        <w:p w:rsidR="002B1F8C" w:rsidRPr="005F3FC6" w:rsidRDefault="00BE47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09" w:history="1">
            <w:r w:rsidR="00AE2D9C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</w:rPr>
              <w:t>Классификация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C7A21">
            <w:rPr>
              <w:rFonts w:ascii="Times New Roman" w:hAnsi="Times New Roman" w:cs="Times New Roman"/>
              <w:noProof/>
              <w:sz w:val="24"/>
            </w:rPr>
            <w:t>5</w:t>
          </w:r>
        </w:p>
        <w:p w:rsidR="002B1F8C" w:rsidRPr="005F3FC6" w:rsidRDefault="00BE47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10" w:history="1">
            <w:r w:rsidR="00AE2D9C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</w:rPr>
              <w:t xml:space="preserve">Диагностика 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C7A21">
            <w:rPr>
              <w:rFonts w:ascii="Times New Roman" w:hAnsi="Times New Roman" w:cs="Times New Roman"/>
              <w:noProof/>
              <w:sz w:val="24"/>
            </w:rPr>
            <w:t>5</w:t>
          </w:r>
        </w:p>
        <w:p w:rsidR="002B1F8C" w:rsidRPr="005F3FC6" w:rsidRDefault="00BE47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11" w:history="1">
            <w:r w:rsidR="00AE2D9C">
              <w:rPr>
                <w:rFonts w:ascii="Times New Roman" w:hAnsi="Times New Roman" w:cs="Times New Roman"/>
                <w:noProof/>
              </w:rPr>
              <w:t>Лечение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C7A21">
            <w:rPr>
              <w:rFonts w:ascii="Times New Roman" w:hAnsi="Times New Roman" w:cs="Times New Roman"/>
              <w:noProof/>
              <w:sz w:val="24"/>
            </w:rPr>
            <w:t>7</w:t>
          </w:r>
        </w:p>
        <w:p w:rsidR="002B1F8C" w:rsidRPr="005F3FC6" w:rsidRDefault="00BE47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32470512" w:history="1">
            <w:r w:rsidR="002B1F8C" w:rsidRPr="005F3FC6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</w:rPr>
              <w:t>Список литературы</w:t>
            </w:r>
            <w:r w:rsidR="002B1F8C" w:rsidRPr="005F3FC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</w:hyperlink>
          <w:r w:rsidR="000C7A21">
            <w:rPr>
              <w:rFonts w:ascii="Times New Roman" w:hAnsi="Times New Roman" w:cs="Times New Roman"/>
              <w:noProof/>
              <w:sz w:val="24"/>
            </w:rPr>
            <w:t>9</w:t>
          </w:r>
        </w:p>
        <w:p w:rsidR="002B1F8C" w:rsidRPr="005F3FC6" w:rsidRDefault="002B1F8C">
          <w:pPr>
            <w:rPr>
              <w:rFonts w:ascii="Times New Roman" w:hAnsi="Times New Roman" w:cs="Times New Roman"/>
            </w:rPr>
          </w:pPr>
          <w:r w:rsidRPr="005F3FC6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B6362A" w:rsidRPr="005F3FC6" w:rsidRDefault="00B6362A" w:rsidP="00B6362A"/>
    <w:p w:rsid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518D2" w:rsidRPr="00AE2D9C">
        <w:rPr>
          <w:rFonts w:ascii="Times New Roman" w:hAnsi="Times New Roman" w:cs="Times New Roman"/>
          <w:sz w:val="24"/>
          <w:szCs w:val="24"/>
        </w:rPr>
        <w:tab/>
      </w:r>
    </w:p>
    <w:p w:rsidR="00AE2D9C" w:rsidRDefault="00AE2D9C" w:rsidP="00B6362A">
      <w:pPr>
        <w:rPr>
          <w:rFonts w:ascii="Times New Roman" w:hAnsi="Times New Roman" w:cs="Times New Roman"/>
          <w:sz w:val="24"/>
          <w:szCs w:val="24"/>
        </w:rPr>
      </w:pP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b/>
          <w:sz w:val="24"/>
          <w:szCs w:val="24"/>
        </w:rPr>
        <w:t>Отосклероз</w:t>
      </w:r>
      <w:r w:rsidRPr="00AE2D9C">
        <w:rPr>
          <w:rFonts w:ascii="Times New Roman" w:hAnsi="Times New Roman" w:cs="Times New Roman"/>
          <w:sz w:val="24"/>
          <w:szCs w:val="24"/>
        </w:rPr>
        <w:t xml:space="preserve"> - специфическое заболевание, представляющее собой первичное метаболическое поражение костной капсулы ушного лабиринта, выражающееся особой формой остеодистрофии с преимущественно двусторонним очаговым поражением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энхондрального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слоя капсулы. При этом вначале наблюдается деструкция костной ткани с образованием мягких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отоспонгиозных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кровенаполненных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очагов, а затем – образование очень плотной склеротической кости вследствие отложения в этих очагах солей кальция. Эти фазы размягчения 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склерозирования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кости имеют волнообразное течение. </w:t>
      </w:r>
    </w:p>
    <w:p w:rsidR="00A518D2" w:rsidRPr="00AE2D9C" w:rsidRDefault="00D956E5" w:rsidP="00B6362A">
      <w:pPr>
        <w:rPr>
          <w:rFonts w:ascii="Times New Roman" w:hAnsi="Times New Roman" w:cs="Times New Roman"/>
          <w:b/>
          <w:sz w:val="24"/>
          <w:szCs w:val="24"/>
        </w:rPr>
      </w:pPr>
      <w:r w:rsidRPr="00AE2D9C">
        <w:rPr>
          <w:rFonts w:ascii="Times New Roman" w:hAnsi="Times New Roman" w:cs="Times New Roman"/>
          <w:b/>
          <w:sz w:val="24"/>
          <w:szCs w:val="24"/>
        </w:rPr>
        <w:t>Этиология и патогенез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 В настоящее время описывается много теорий причин и патогенеза этого заболевания, которые в той или иной мере способствуют возникновению отосклероза. Среди основных гипотез можно выделить следующие: аутосомная доминантная наследственная, вирусная, аутоиммунная и эндокринно-метаболическая, которые разрабатываются до последнего времени.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="00A518D2" w:rsidRPr="00AE2D9C">
        <w:rPr>
          <w:rFonts w:ascii="Times New Roman" w:hAnsi="Times New Roman" w:cs="Times New Roman"/>
          <w:sz w:val="24"/>
          <w:szCs w:val="24"/>
        </w:rPr>
        <w:t xml:space="preserve">1. </w:t>
      </w:r>
      <w:r w:rsidRPr="00AE2D9C">
        <w:rPr>
          <w:rFonts w:ascii="Times New Roman" w:hAnsi="Times New Roman" w:cs="Times New Roman"/>
          <w:sz w:val="24"/>
          <w:szCs w:val="24"/>
        </w:rPr>
        <w:t xml:space="preserve">Многочисленные генетические исследования доказывают, что отосклероз является аутосомно-доминантным заболеванием с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проявляемостью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гена от 20 до 40%, или неполной его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проявляемостью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Современные генетическое исследования позволили определить гены, ответственные за развитие наследственного отосклероза и их локализацию – хромосомы 15q25-26 (ген OTSC1), 7q34-36 (OTSC2), 6р21-22 (OTSC3), 16q22-23 (OTSC4), 3q22–24 (OTSC5) [5].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Присутствие антител в сыворотке крови к коллагену типа II и к коллагену IX у больных отосклерозом может свидетельствовать об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аутоиммунную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гипотезе развития отосклероза. Также это подтверждается исследованиями, которые выявили в сыворотке крови больных отосклерозом более высокий титр антител к коллагену типа II в сравнении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здоровыми. Выявлено участие трансформирующего фактора роста b1 (TGFB 1 –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transforminggrowth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) в патогенезе отосклероза. Его активность угнетает дифференцирование остеокластов и ингибирует нормальное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ремоделирование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капсулы лабиринта. Обнаружено участие костных морфогенетических белков (BMP –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bonemorphogeneticproteins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) BMP2, 4 и 7, которые влияют на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хондрогенез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>, а их мутации вы</w:t>
      </w:r>
      <w:r w:rsidR="00A518D2" w:rsidRPr="00AE2D9C">
        <w:rPr>
          <w:rFonts w:ascii="Times New Roman" w:hAnsi="Times New Roman" w:cs="Times New Roman"/>
          <w:sz w:val="24"/>
          <w:szCs w:val="24"/>
        </w:rPr>
        <w:t xml:space="preserve">зывают нарушения </w:t>
      </w:r>
      <w:proofErr w:type="spellStart"/>
      <w:r w:rsidR="00A518D2" w:rsidRPr="00AE2D9C">
        <w:rPr>
          <w:rFonts w:ascii="Times New Roman" w:hAnsi="Times New Roman" w:cs="Times New Roman"/>
          <w:sz w:val="24"/>
          <w:szCs w:val="24"/>
        </w:rPr>
        <w:t>остеогенеза</w:t>
      </w:r>
      <w:proofErr w:type="spellEnd"/>
      <w:r w:rsidR="00A518D2"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t xml:space="preserve">. </w:t>
      </w:r>
      <w:r w:rsidR="00A518D2" w:rsidRPr="00AE2D9C">
        <w:rPr>
          <w:rFonts w:ascii="Times New Roman" w:hAnsi="Times New Roman" w:cs="Times New Roman"/>
          <w:sz w:val="24"/>
          <w:szCs w:val="24"/>
        </w:rPr>
        <w:br/>
      </w:r>
      <w:r w:rsidR="00A518D2" w:rsidRPr="00AE2D9C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AE2D9C">
        <w:rPr>
          <w:rFonts w:ascii="Times New Roman" w:hAnsi="Times New Roman" w:cs="Times New Roman"/>
          <w:sz w:val="24"/>
          <w:szCs w:val="24"/>
        </w:rPr>
        <w:t xml:space="preserve">Морфологические и биохимические исследования доказали ассоциации между вирусом кори, который относят к экологическим факторам, и развитием отосклероза. При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иммуногистохимических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исследованиях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хондроцитов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костной ткани и, в особенности, КР315 7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отоспонгиозных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очагов было подтверждено наличие структурных единиц вируса кори, а также наличие белка оболочки вируса. Наличие РНК вируса кори было доказано проведением полимеразной цепной реакции (ПЦР) при исследовании перилимфы и костной ткани у больных отосклерозом. Анализ перилимфы показал наличие антител к белкам вируса кори во всех случаях, и в 80% наличие РНК вируса в препаратах основания и арки стремени, однако в клеточных структурах очагов РНК вируса не обнаружено. </w:t>
      </w:r>
      <w:r w:rsidR="00A518D2" w:rsidRPr="00AE2D9C">
        <w:rPr>
          <w:rFonts w:ascii="Times New Roman" w:hAnsi="Times New Roman" w:cs="Times New Roman"/>
          <w:sz w:val="24"/>
          <w:szCs w:val="24"/>
        </w:rPr>
        <w:br/>
      </w:r>
    </w:p>
    <w:p w:rsidR="00A518D2" w:rsidRPr="00AE2D9C" w:rsidRDefault="00A518D2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3. </w:t>
      </w:r>
      <w:r w:rsidR="00D956E5" w:rsidRPr="00AE2D9C">
        <w:rPr>
          <w:rFonts w:ascii="Times New Roman" w:hAnsi="Times New Roman" w:cs="Times New Roman"/>
          <w:sz w:val="24"/>
          <w:szCs w:val="24"/>
        </w:rPr>
        <w:t xml:space="preserve">Некоторые исследователи кроме вируса кори обнаружили и фактор некроза опухоли в основании стремени, </w:t>
      </w:r>
      <w:proofErr w:type="spellStart"/>
      <w:r w:rsidR="00D956E5" w:rsidRPr="00AE2D9C">
        <w:rPr>
          <w:rFonts w:ascii="Times New Roman" w:hAnsi="Times New Roman" w:cs="Times New Roman"/>
          <w:sz w:val="24"/>
          <w:szCs w:val="24"/>
        </w:rPr>
        <w:t>удалѐнных</w:t>
      </w:r>
      <w:proofErr w:type="spellEnd"/>
      <w:r w:rsidR="00D956E5" w:rsidRPr="00AE2D9C">
        <w:rPr>
          <w:rFonts w:ascii="Times New Roman" w:hAnsi="Times New Roman" w:cs="Times New Roman"/>
          <w:sz w:val="24"/>
          <w:szCs w:val="24"/>
        </w:rPr>
        <w:t xml:space="preserve"> во время опе</w:t>
      </w:r>
      <w:r w:rsidRPr="00AE2D9C">
        <w:rPr>
          <w:rFonts w:ascii="Times New Roman" w:hAnsi="Times New Roman" w:cs="Times New Roman"/>
          <w:sz w:val="24"/>
          <w:szCs w:val="24"/>
        </w:rPr>
        <w:t>рации у больных отосклерозом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="00D956E5"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6E5" w:rsidRPr="00AE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D2" w:rsidRPr="00AE2D9C" w:rsidRDefault="00A518D2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4. </w:t>
      </w:r>
      <w:r w:rsidR="00D956E5" w:rsidRPr="00AE2D9C">
        <w:rPr>
          <w:rFonts w:ascii="Times New Roman" w:hAnsi="Times New Roman" w:cs="Times New Roman"/>
          <w:sz w:val="24"/>
          <w:szCs w:val="24"/>
        </w:rPr>
        <w:t xml:space="preserve">Несомненно, что в возникновении отосклероза играет роль филогенетическая особенность строения лабиринта у человека и унаследованная врожденная неполноценность лабиринтной капсулы. Это выражается в наследовании повышенной </w:t>
      </w:r>
      <w:r w:rsidR="00D956E5" w:rsidRPr="00AE2D9C">
        <w:rPr>
          <w:rFonts w:ascii="Times New Roman" w:hAnsi="Times New Roman" w:cs="Times New Roman"/>
          <w:sz w:val="24"/>
          <w:szCs w:val="24"/>
        </w:rPr>
        <w:lastRenderedPageBreak/>
        <w:t xml:space="preserve">чувствительности (сенсибилизации) лабиринта, остатков его эмбрионального хряща </w:t>
      </w:r>
      <w:proofErr w:type="gramStart"/>
      <w:r w:rsidR="00D956E5" w:rsidRPr="00AE2D9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956E5" w:rsidRPr="00AE2D9C">
        <w:rPr>
          <w:rFonts w:ascii="Times New Roman" w:hAnsi="Times New Roman" w:cs="Times New Roman"/>
          <w:sz w:val="24"/>
          <w:szCs w:val="24"/>
        </w:rPr>
        <w:t xml:space="preserve"> всякого рода экзо - и эндогенным сдвигам. В этих условиях эти факторы пр</w:t>
      </w:r>
      <w:r w:rsidRPr="00AE2D9C">
        <w:rPr>
          <w:rFonts w:ascii="Times New Roman" w:hAnsi="Times New Roman" w:cs="Times New Roman"/>
          <w:sz w:val="24"/>
          <w:szCs w:val="24"/>
        </w:rPr>
        <w:t>иобретают роль провоцирующих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="00D956E5"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8D2" w:rsidRPr="00AE2D9C" w:rsidRDefault="00A518D2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5. </w:t>
      </w:r>
      <w:r w:rsidR="00D956E5" w:rsidRPr="00AE2D9C">
        <w:rPr>
          <w:rFonts w:ascii="Times New Roman" w:hAnsi="Times New Roman" w:cs="Times New Roman"/>
          <w:sz w:val="24"/>
          <w:szCs w:val="24"/>
        </w:rPr>
        <w:t xml:space="preserve"> В генезе отосклероза также отмечены эндокринно-обменные нарушения, однако роль их в манифестации отосклероза является сложной и недостаточно изученной. Наиболее вероятно, что проявлению отосклероза предшествует нарушение функций нескольких эндокринных </w:t>
      </w:r>
      <w:proofErr w:type="spellStart"/>
      <w:r w:rsidR="00D956E5" w:rsidRPr="00AE2D9C">
        <w:rPr>
          <w:rFonts w:ascii="Times New Roman" w:hAnsi="Times New Roman" w:cs="Times New Roman"/>
          <w:sz w:val="24"/>
          <w:szCs w:val="24"/>
        </w:rPr>
        <w:t>желѐз</w:t>
      </w:r>
      <w:proofErr w:type="spellEnd"/>
      <w:r w:rsidR="00D956E5" w:rsidRPr="00AE2D9C">
        <w:rPr>
          <w:rFonts w:ascii="Times New Roman" w:hAnsi="Times New Roman" w:cs="Times New Roman"/>
          <w:sz w:val="24"/>
          <w:szCs w:val="24"/>
        </w:rPr>
        <w:t>, в первую очередь тех, которые регулируют минеральный обмен (надпочечники, гипофиз, паращитовидные, половы</w:t>
      </w:r>
      <w:r w:rsidRPr="00AE2D9C">
        <w:rPr>
          <w:rFonts w:ascii="Times New Roman" w:hAnsi="Times New Roman" w:cs="Times New Roman"/>
          <w:sz w:val="24"/>
          <w:szCs w:val="24"/>
        </w:rPr>
        <w:t>е железы)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956E5" w:rsidRPr="00AE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D2" w:rsidRPr="00AE2D9C" w:rsidRDefault="00A518D2" w:rsidP="00B6362A">
      <w:pPr>
        <w:rPr>
          <w:rFonts w:ascii="Times New Roman" w:hAnsi="Times New Roman" w:cs="Times New Roman"/>
          <w:sz w:val="24"/>
          <w:szCs w:val="24"/>
        </w:rPr>
      </w:pPr>
    </w:p>
    <w:p w:rsidR="00A518D2" w:rsidRPr="00AE2D9C" w:rsidRDefault="00A518D2" w:rsidP="00B6362A">
      <w:pPr>
        <w:rPr>
          <w:rFonts w:ascii="Times New Roman" w:hAnsi="Times New Roman" w:cs="Times New Roman"/>
          <w:b/>
          <w:sz w:val="24"/>
          <w:szCs w:val="24"/>
        </w:rPr>
      </w:pPr>
    </w:p>
    <w:p w:rsidR="00A518D2" w:rsidRPr="00AE2D9C" w:rsidRDefault="00D956E5" w:rsidP="00B636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D9C">
        <w:rPr>
          <w:rFonts w:ascii="Times New Roman" w:hAnsi="Times New Roman" w:cs="Times New Roman"/>
          <w:b/>
          <w:sz w:val="24"/>
          <w:szCs w:val="24"/>
        </w:rPr>
        <w:t>Эпидемология</w:t>
      </w:r>
      <w:proofErr w:type="spellEnd"/>
      <w:r w:rsidRPr="00AE2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>Многие авторы отмечают, что люди белой расы болеют отосклерозом в 7 раз чаще людей негроидной расы. Эпидемиологический анализ возраста и гендерные распределения показали более высокий частоту отосклероза у женщин (от 63 до 84%) в период между 15 и 45 годами (до 62%). За последние 30 лет исследований данное соотношение не изменилось, но отмечено увеличение среднего возраста пациентов с отосклерозом и уменьшение количества случ</w:t>
      </w:r>
      <w:r w:rsidR="00A518D2" w:rsidRPr="00AE2D9C">
        <w:rPr>
          <w:rFonts w:ascii="Times New Roman" w:hAnsi="Times New Roman" w:cs="Times New Roman"/>
          <w:sz w:val="24"/>
          <w:szCs w:val="24"/>
        </w:rPr>
        <w:t>аев этого заболевания</w:t>
      </w:r>
      <w:proofErr w:type="gramStart"/>
      <w:r w:rsidR="00A518D2"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Развитие отосклероза у детей до 14 лет наблюдается у 1,5-3%. В тоже время при анализе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стапедопластик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>, выполненных у детей до 16 лет, в 17% случаях обна</w:t>
      </w:r>
      <w:r w:rsidR="00A518D2" w:rsidRPr="00AE2D9C">
        <w:rPr>
          <w:rFonts w:ascii="Times New Roman" w:hAnsi="Times New Roman" w:cs="Times New Roman"/>
          <w:sz w:val="24"/>
          <w:szCs w:val="24"/>
        </w:rPr>
        <w:t xml:space="preserve">ружены очаги отосклероза </w:t>
      </w:r>
      <w:r w:rsidRPr="00AE2D9C">
        <w:rPr>
          <w:rFonts w:ascii="Times New Roman" w:hAnsi="Times New Roman" w:cs="Times New Roman"/>
          <w:sz w:val="24"/>
          <w:szCs w:val="24"/>
        </w:rPr>
        <w:t xml:space="preserve">. По данным Бюро медицинской статистики Департамента здравоохранения города Москвы в структуре заболеваний уха в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Лор-стационарах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5-8% – это больные отосклерозом. В структуре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сурдологических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отделений в последнее десятилетие этот показатель составляет 10-16%. Заболевание поражает наиболее социально активную часть населения в возрасте от 15 до 45 лет. </w:t>
      </w:r>
    </w:p>
    <w:p w:rsidR="00A518D2" w:rsidRPr="00AE2D9C" w:rsidRDefault="00A518D2" w:rsidP="00B6362A">
      <w:pPr>
        <w:rPr>
          <w:rFonts w:ascii="Times New Roman" w:hAnsi="Times New Roman" w:cs="Times New Roman"/>
          <w:sz w:val="24"/>
          <w:szCs w:val="24"/>
        </w:rPr>
      </w:pPr>
    </w:p>
    <w:p w:rsidR="00A518D2" w:rsidRPr="00AE2D9C" w:rsidRDefault="00D956E5" w:rsidP="00B6362A">
      <w:pPr>
        <w:rPr>
          <w:rFonts w:ascii="Times New Roman" w:hAnsi="Times New Roman" w:cs="Times New Roman"/>
          <w:b/>
          <w:sz w:val="24"/>
          <w:szCs w:val="24"/>
        </w:rPr>
      </w:pPr>
      <w:r w:rsidRPr="00AE2D9C"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В России до сих пор используется классификация Н.А. Преображенского (1962) в зависимости от состояния порогов слуха по костной проводимости (КП) по данным тональной пороговой аудиометрии (ТПА): тимпанальная, смешанная 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формы. Тимпанальная форма (пороги слуха по КП до 20); смешанная форма I (от 21 до 30 дБ); смешанная форма II (&gt; 30 дБ) 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форма (КП </w:t>
      </w:r>
      <w:r w:rsidRPr="00AE2D9C">
        <w:rPr>
          <w:rFonts w:ascii="Times New Roman" w:hAnsi="Times New Roman" w:cs="Times New Roman"/>
          <w:sz w:val="24"/>
          <w:szCs w:val="24"/>
        </w:rPr>
        <w:sym w:font="Symbol" w:char="F03E"/>
      </w:r>
      <w:r w:rsidRPr="00AE2D9C">
        <w:rPr>
          <w:rFonts w:ascii="Times New Roman" w:hAnsi="Times New Roman" w:cs="Times New Roman"/>
          <w:sz w:val="24"/>
          <w:szCs w:val="24"/>
        </w:rPr>
        <w:t xml:space="preserve"> 50 дБ). Однако, согласно многим патоморфологическим и клиническим исследованиям, принято выделять гистологический и клинический отосклероз, активную (незрелую) и неактивную (зрелую) его стадии, что во многом определяе</w:t>
      </w:r>
      <w:r w:rsidR="00A518D2" w:rsidRPr="00AE2D9C">
        <w:rPr>
          <w:rFonts w:ascii="Times New Roman" w:hAnsi="Times New Roman" w:cs="Times New Roman"/>
          <w:sz w:val="24"/>
          <w:szCs w:val="24"/>
        </w:rPr>
        <w:t>т характер лечения больного</w:t>
      </w:r>
      <w:proofErr w:type="gramStart"/>
      <w:r w:rsidR="00A518D2"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D2" w:rsidRPr="00AE2D9C" w:rsidRDefault="00A518D2" w:rsidP="00B6362A">
      <w:pPr>
        <w:rPr>
          <w:rFonts w:ascii="Times New Roman" w:hAnsi="Times New Roman" w:cs="Times New Roman"/>
          <w:b/>
          <w:sz w:val="24"/>
          <w:szCs w:val="24"/>
        </w:rPr>
      </w:pPr>
      <w:r w:rsidRPr="00AE2D9C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Жалобы и анамнез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опрашивать пациентов о прогрессирующем сни</w:t>
      </w:r>
      <w:r w:rsidR="00A518D2" w:rsidRPr="00AE2D9C">
        <w:rPr>
          <w:rFonts w:ascii="Times New Roman" w:hAnsi="Times New Roman" w:cs="Times New Roman"/>
          <w:sz w:val="24"/>
          <w:szCs w:val="24"/>
        </w:rPr>
        <w:t>жении слуха на одно или оба уха</w:t>
      </w:r>
      <w:r w:rsidRPr="00AE2D9C">
        <w:rPr>
          <w:rFonts w:ascii="Times New Roman" w:hAnsi="Times New Roman" w:cs="Times New Roman"/>
          <w:sz w:val="24"/>
          <w:szCs w:val="24"/>
        </w:rPr>
        <w:t xml:space="preserve">: Основными жалобами пациентов при всех формах отосклероза являются прогрессирующее, постепенное, «беспричинное» снижение слуха. Тугоухость при отосклерозе, как правило, двусторонняя, в 15-30% случаев определяется односторонний процесс. На течение заболевания и характер тугоухости влияет активность </w:t>
      </w:r>
      <w:r w:rsidRPr="00AE2D9C">
        <w:rPr>
          <w:rFonts w:ascii="Times New Roman" w:hAnsi="Times New Roman" w:cs="Times New Roman"/>
          <w:sz w:val="24"/>
          <w:szCs w:val="24"/>
        </w:rPr>
        <w:lastRenderedPageBreak/>
        <w:t>отосклеротических очагов. Так появление очагов в раннем возрасте вызывает быстрое прогрессирование тугоухости, чего не наблюдае</w:t>
      </w:r>
      <w:r w:rsidR="00A518D2" w:rsidRPr="00AE2D9C">
        <w:rPr>
          <w:rFonts w:ascii="Times New Roman" w:hAnsi="Times New Roman" w:cs="Times New Roman"/>
          <w:sz w:val="24"/>
          <w:szCs w:val="24"/>
        </w:rPr>
        <w:t xml:space="preserve">тся в пожилом возрасте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опрашивать пациентов о наличии ушного шума в одн</w:t>
      </w:r>
      <w:r w:rsidR="00A518D2" w:rsidRPr="00AE2D9C">
        <w:rPr>
          <w:rFonts w:ascii="Times New Roman" w:hAnsi="Times New Roman" w:cs="Times New Roman"/>
          <w:sz w:val="24"/>
          <w:szCs w:val="24"/>
        </w:rPr>
        <w:t>ом или обоих ушах</w:t>
      </w:r>
      <w:r w:rsidRPr="00AE2D9C">
        <w:rPr>
          <w:rFonts w:ascii="Times New Roman" w:hAnsi="Times New Roman" w:cs="Times New Roman"/>
          <w:sz w:val="24"/>
          <w:szCs w:val="24"/>
        </w:rPr>
        <w:t xml:space="preserve">: Довольно постоянным признаком отосклеротического поражения является субъективное ощущение шума в одном или обоих ушах низко- и среднечастотного характера, крайне редко пациенты </w:t>
      </w:r>
      <w:r w:rsidR="00A518D2" w:rsidRPr="00AE2D9C">
        <w:rPr>
          <w:rFonts w:ascii="Times New Roman" w:hAnsi="Times New Roman" w:cs="Times New Roman"/>
          <w:sz w:val="24"/>
          <w:szCs w:val="24"/>
        </w:rPr>
        <w:t>отмечают высокочастотный шум</w:t>
      </w:r>
      <w:proofErr w:type="gramStart"/>
      <w:r w:rsidR="00A518D2"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опрашивать пациентов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улучшении слуха в шумной обстановке: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2D9C">
        <w:rPr>
          <w:rFonts w:ascii="Times New Roman" w:hAnsi="Times New Roman" w:cs="Times New Roman"/>
          <w:sz w:val="24"/>
          <w:szCs w:val="24"/>
        </w:rPr>
        <w:t>Некоторые пациенты при тимпанальной или смешанной формах отосклероза с относительно хорошим уровнем слуха по КП, отмечают улучшение слуха в шумной обстановке («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paracusis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D2" w:rsidRPr="00AE2D9C">
        <w:rPr>
          <w:rFonts w:ascii="Times New Roman" w:hAnsi="Times New Roman" w:cs="Times New Roman"/>
          <w:sz w:val="24"/>
          <w:szCs w:val="24"/>
        </w:rPr>
        <w:t>Wilisii</w:t>
      </w:r>
      <w:proofErr w:type="spellEnd"/>
      <w:r w:rsidR="00A518D2" w:rsidRPr="00AE2D9C">
        <w:rPr>
          <w:rFonts w:ascii="Times New Roman" w:hAnsi="Times New Roman" w:cs="Times New Roman"/>
          <w:sz w:val="24"/>
          <w:szCs w:val="24"/>
        </w:rPr>
        <w:t>»)</w:t>
      </w:r>
      <w:r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опрашивать пациентов о наличии головокружения и/или расстройств равновесия.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выполнять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ото</w:t>
      </w:r>
      <w:r w:rsidR="00A518D2" w:rsidRPr="00AE2D9C">
        <w:rPr>
          <w:rFonts w:ascii="Times New Roman" w:hAnsi="Times New Roman" w:cs="Times New Roman"/>
          <w:sz w:val="24"/>
          <w:szCs w:val="24"/>
        </w:rPr>
        <w:t>микроскопию</w:t>
      </w:r>
      <w:proofErr w:type="spellEnd"/>
      <w:r w:rsidR="00A518D2" w:rsidRPr="00AE2D9C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="00A518D2" w:rsidRPr="00AE2D9C">
        <w:rPr>
          <w:rFonts w:ascii="Times New Roman" w:hAnsi="Times New Roman" w:cs="Times New Roman"/>
          <w:sz w:val="24"/>
          <w:szCs w:val="24"/>
        </w:rPr>
        <w:t>отоэндоскопию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: При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отомикроскопии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обращает на себя внимание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истончѐнная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кожа слухового прохода 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атрофичная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(иногда в виде «пчелиных сот», симптом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Лемперта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) барабанная перепонка с </w:t>
      </w:r>
      <w:proofErr w:type="spellStart"/>
      <w:proofErr w:type="gramStart"/>
      <w:r w:rsidRPr="00AE2D9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>ѐткими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опознавательными знаками. При активном отосклерозе иногда барабанная перепонка выглядит розовой (симптом Шварца), вследствие просвечивания сквозь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истончѐнную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барабанную перепонку активных отосклеротических очагов</w:t>
      </w:r>
      <w:r w:rsidR="00A518D2" w:rsidRPr="00AE2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Инструментальная диагностика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выполнять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камерто</w:t>
      </w:r>
      <w:r w:rsidR="00A518D2" w:rsidRPr="00AE2D9C">
        <w:rPr>
          <w:rFonts w:ascii="Times New Roman" w:hAnsi="Times New Roman" w:cs="Times New Roman"/>
          <w:sz w:val="24"/>
          <w:szCs w:val="24"/>
        </w:rPr>
        <w:t>нальные</w:t>
      </w:r>
      <w:proofErr w:type="spellEnd"/>
      <w:r w:rsidR="00A518D2" w:rsidRPr="00AE2D9C">
        <w:rPr>
          <w:rFonts w:ascii="Times New Roman" w:hAnsi="Times New Roman" w:cs="Times New Roman"/>
          <w:sz w:val="24"/>
          <w:szCs w:val="24"/>
        </w:rPr>
        <w:t xml:space="preserve"> пробы </w:t>
      </w:r>
      <w:proofErr w:type="spellStart"/>
      <w:r w:rsidR="00A518D2" w:rsidRPr="00AE2D9C">
        <w:rPr>
          <w:rFonts w:ascii="Times New Roman" w:hAnsi="Times New Roman" w:cs="Times New Roman"/>
          <w:sz w:val="24"/>
          <w:szCs w:val="24"/>
        </w:rPr>
        <w:t>Ринне</w:t>
      </w:r>
      <w:proofErr w:type="spellEnd"/>
      <w:r w:rsidR="00A518D2" w:rsidRPr="00AE2D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18D2" w:rsidRPr="00AE2D9C">
        <w:rPr>
          <w:rFonts w:ascii="Times New Roman" w:hAnsi="Times New Roman" w:cs="Times New Roman"/>
          <w:sz w:val="24"/>
          <w:szCs w:val="24"/>
        </w:rPr>
        <w:t>Федериче</w:t>
      </w:r>
      <w:proofErr w:type="spellEnd"/>
      <w:r w:rsidR="00A518D2" w:rsidRPr="00AE2D9C">
        <w:rPr>
          <w:rFonts w:ascii="Times New Roman" w:hAnsi="Times New Roman" w:cs="Times New Roman"/>
          <w:sz w:val="24"/>
          <w:szCs w:val="24"/>
        </w:rPr>
        <w:t xml:space="preserve">: </w:t>
      </w:r>
      <w:r w:rsidR="00A518D2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тимпанальной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и смешанных формах отосклероза отмечаются отрицательные результаты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камертональных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проб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Ринне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Федеричи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. Используются камертоны С128-С2048. При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форме отмечаются положительные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камертональные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пробы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Ринне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Федеричи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D2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выполн</w:t>
      </w:r>
      <w:r w:rsidR="00A518D2" w:rsidRPr="00AE2D9C">
        <w:rPr>
          <w:rFonts w:ascii="Times New Roman" w:hAnsi="Times New Roman" w:cs="Times New Roman"/>
          <w:sz w:val="24"/>
          <w:szCs w:val="24"/>
        </w:rPr>
        <w:t xml:space="preserve">ять </w:t>
      </w:r>
      <w:proofErr w:type="spellStart"/>
      <w:r w:rsidR="00A518D2" w:rsidRPr="00AE2D9C">
        <w:rPr>
          <w:rFonts w:ascii="Times New Roman" w:hAnsi="Times New Roman" w:cs="Times New Roman"/>
          <w:sz w:val="24"/>
          <w:szCs w:val="24"/>
        </w:rPr>
        <w:t>камертональную</w:t>
      </w:r>
      <w:proofErr w:type="spellEnd"/>
      <w:r w:rsidR="00A518D2" w:rsidRPr="00AE2D9C">
        <w:rPr>
          <w:rFonts w:ascii="Times New Roman" w:hAnsi="Times New Roman" w:cs="Times New Roman"/>
          <w:sz w:val="24"/>
          <w:szCs w:val="24"/>
        </w:rPr>
        <w:t xml:space="preserve"> пробу Вебера</w:t>
      </w:r>
      <w:r w:rsidRPr="00AE2D9C">
        <w:rPr>
          <w:rFonts w:ascii="Times New Roman" w:hAnsi="Times New Roman" w:cs="Times New Roman"/>
          <w:sz w:val="24"/>
          <w:szCs w:val="24"/>
        </w:rPr>
        <w:t xml:space="preserve">: </w:t>
      </w:r>
      <w:r w:rsidR="00A518D2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тимпанальной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и смешанных формах отосклероза в опыте Вебера звук камертонов С128-С2048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латерализуется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в хуже слышащее ухо. При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форме отосклероза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латерализация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звука камертонов С128-С2024 в лучше слышащее ухо. </w:t>
      </w:r>
      <w:r w:rsidR="00A518D2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выполнять тональную пороговую аудиометрию (ТПА). </w:t>
      </w:r>
      <w:r w:rsidR="00A518D2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тимпанальной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и смешанных формах отосклероза определяется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кондуктивная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или смешанная тугоухость двусторонняя или односторонняя. При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аудиологическом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обследовании часто выявляется так называемый «зубец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Кархарта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» - ухудшение показателей костной кривой на 5-15 КР315 11 дБ в диапазоне 2-3 кГц. Для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формы отосклероза типична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сенсоневральная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или смешанная (с преобладанием поражения звуковосприятия) тугоухость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="00A518D2"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D9C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проведение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акустической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импедансометрии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: Для отосклероза характерна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тимпанограмма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типа «А» и отсутствие акустического</w:t>
      </w:r>
      <w:r w:rsidR="00AE2D9C" w:rsidRPr="00AE2D9C">
        <w:rPr>
          <w:rFonts w:ascii="Times New Roman" w:hAnsi="Times New Roman" w:cs="Times New Roman"/>
          <w:sz w:val="24"/>
          <w:szCs w:val="24"/>
        </w:rPr>
        <w:t xml:space="preserve"> рефлекса (Приложение Г</w:t>
      </w:r>
      <w:proofErr w:type="gramStart"/>
      <w:r w:rsidR="00AE2D9C" w:rsidRPr="00AE2D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E2D9C" w:rsidRPr="00AE2D9C">
        <w:rPr>
          <w:rFonts w:ascii="Times New Roman" w:hAnsi="Times New Roman" w:cs="Times New Roman"/>
          <w:sz w:val="24"/>
          <w:szCs w:val="24"/>
        </w:rPr>
        <w:t xml:space="preserve">.) </w:t>
      </w:r>
      <w:r w:rsidRPr="00AE2D9C">
        <w:rPr>
          <w:rFonts w:ascii="Times New Roman" w:hAnsi="Times New Roman" w:cs="Times New Roman"/>
          <w:sz w:val="24"/>
          <w:szCs w:val="24"/>
        </w:rPr>
        <w:t xml:space="preserve">.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компьютерная томография височных костей в аксиальной и корона</w:t>
      </w:r>
      <w:r w:rsidR="00AE2D9C" w:rsidRPr="00AE2D9C">
        <w:rPr>
          <w:rFonts w:ascii="Times New Roman" w:hAnsi="Times New Roman" w:cs="Times New Roman"/>
          <w:sz w:val="24"/>
          <w:szCs w:val="24"/>
        </w:rPr>
        <w:t>рной проекциях (шагом 0,3-1 мм)</w:t>
      </w:r>
      <w:r w:rsidRPr="00AE2D9C">
        <w:rPr>
          <w:rFonts w:ascii="Times New Roman" w:hAnsi="Times New Roman" w:cs="Times New Roman"/>
          <w:sz w:val="24"/>
          <w:szCs w:val="24"/>
        </w:rPr>
        <w:t xml:space="preserve">: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КТ височных костей является единственным объективным методом верификации отосклероза, который позволяет выявить локализацию (чувствительность метода 80-95%,специфика – 99,1%),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распространѐнность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очагов отосклероза и определить сте</w:t>
      </w:r>
      <w:r w:rsidR="00AE2D9C" w:rsidRPr="00AE2D9C">
        <w:rPr>
          <w:rFonts w:ascii="Times New Roman" w:hAnsi="Times New Roman" w:cs="Times New Roman"/>
          <w:sz w:val="24"/>
          <w:szCs w:val="24"/>
        </w:rPr>
        <w:t>пень активности процесса</w:t>
      </w:r>
      <w:proofErr w:type="gramStart"/>
      <w:r w:rsidR="00AE2D9C"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Кроме того, КТ височных костей играет роль в диагностике </w:t>
      </w:r>
      <w:r w:rsidRPr="00AE2D9C">
        <w:rPr>
          <w:rFonts w:ascii="Times New Roman" w:hAnsi="Times New Roman" w:cs="Times New Roman"/>
          <w:sz w:val="24"/>
          <w:szCs w:val="24"/>
        </w:rPr>
        <w:lastRenderedPageBreak/>
        <w:t xml:space="preserve">аномалий и особенностей строения височной кости (широкий водопровод преддверия и улитки,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дегисценция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верхнего полукружного канала), в дифференциальной диагностике отосклероза 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остеодистрофий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>, что может влиять на показания к хирургическому лечен</w:t>
      </w:r>
      <w:r w:rsidR="00AE2D9C" w:rsidRPr="00AE2D9C">
        <w:rPr>
          <w:rFonts w:ascii="Times New Roman" w:hAnsi="Times New Roman" w:cs="Times New Roman"/>
          <w:sz w:val="24"/>
          <w:szCs w:val="24"/>
        </w:rPr>
        <w:t>ию при данной патологии</w:t>
      </w:r>
      <w:proofErr w:type="gramStart"/>
      <w:r w:rsidR="00AE2D9C"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Таким образом, КТ височных костей выполняется у пациентов с односторонней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или смешанной тугоухостью для исключения наличия аномалий развития и особенностей строения височной кости, что может быть одним из объяснений скалярной тугоухости (феномен «третьего окна»), при выраженной двусторонней смешанной тугоухости, у пациентов молодого возраста, в связи с большей вероятностью наличия активного отосклероза и при подозрении на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</w:t>
      </w:r>
      <w:r w:rsidR="00AE2D9C" w:rsidRPr="00AE2D9C">
        <w:rPr>
          <w:rFonts w:ascii="Times New Roman" w:hAnsi="Times New Roman" w:cs="Times New Roman"/>
          <w:sz w:val="24"/>
          <w:szCs w:val="24"/>
        </w:rPr>
        <w:t>охлеарную</w:t>
      </w:r>
      <w:proofErr w:type="spellEnd"/>
      <w:r w:rsidR="00AE2D9C" w:rsidRPr="00AE2D9C">
        <w:rPr>
          <w:rFonts w:ascii="Times New Roman" w:hAnsi="Times New Roman" w:cs="Times New Roman"/>
          <w:sz w:val="24"/>
          <w:szCs w:val="24"/>
        </w:rPr>
        <w:t xml:space="preserve"> форму отосклероза</w:t>
      </w:r>
      <w:r w:rsidRPr="00AE2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D9C" w:rsidRPr="00AE2D9C" w:rsidRDefault="00AE2D9C" w:rsidP="00B6362A">
      <w:pPr>
        <w:rPr>
          <w:rFonts w:ascii="Times New Roman" w:hAnsi="Times New Roman" w:cs="Times New Roman"/>
          <w:b/>
          <w:sz w:val="24"/>
          <w:szCs w:val="24"/>
        </w:rPr>
      </w:pPr>
      <w:r w:rsidRPr="00AE2D9C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</w:p>
    <w:p w:rsidR="00AE2D9C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 Консервативное лечение</w:t>
      </w:r>
    </w:p>
    <w:p w:rsidR="00AE2D9C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инактивирующая терапия: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Проводится у пациентов с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отосклерозом и активной его формой, как на дооперационном этапе, так и после операции, если она была выявлена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интраоперационно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. В качестве основной терапии используются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бифосфонаты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, которые ингибируют костную резорбцию, в сочетании с фтористым натрием и кальция глюконатом. Наиболее эффективными являются азотосодержащие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бифосфонаты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3 поколения (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золедроновая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кислота), которые используются при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 смешанных формах отосклероза с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прогрессирующем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сенсоневральным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компонентом. Лечение способствует стабилизации, а иногда и к уменьшению порогов слуха. В нашей практике мы применяем азотосодержащие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бифосфонаты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первого и второго поколения (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алендронат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натрия). Проводится не менее двух курсов медикаментозной терапии в течение </w:t>
      </w:r>
      <w:proofErr w:type="spellStart"/>
      <w:proofErr w:type="gramStart"/>
      <w:r w:rsidRPr="00AE2D9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>ѐх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месяцев, с перерывом в три месяца. При недостаточной эффективности проводится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1-2 курса с перерывом в 3 месяца. Контролем эффективности проведенного инактивирующего лечения являются показатели ТПА и КТ височных костей. Кроме того, данная терапия останавливает рост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отоспонгиозных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очагов 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припятствует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облитерации улитки, что влияет на возможность проведения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имплантац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того контингента пациентов. Схема лечения по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отосклероза включает следующие препараты: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Бифосфонаты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алендронат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натрия - по 1 таблетке (70 мг) в неделю. Препараты, которые понижают активность остеокластов и тормозят резорбцию костной ткани, способствуя интеграции кальция в костную ткань. Фтористый натрий (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fluoride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) - 1,5 г растворить в 0,5 литра кипяченой воды (30-45 мг в сутки), принимать по 1 ч. ложке 3 раза в день после еды. Ионы фтора стабилизируют кальций в процессе минерализации, индуцируют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остеогенез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путем стимуляции остеобластов, уменьшают резорбцию кости, повышает ее устойчивость к действию остеокластов. Карбонат (глюконат) кальция по 0,5 г 3 раза в день после еды.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Альфакальцидол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(1 мкг) по 1 капсуле 1 раз в день.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Препарат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регулирующий кальций-фосфорный обмен. Действующее вещество -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альфакальцидол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- предшественник активного метаболита витамина D3. Увеличивает минерализацию костной ткани и повышает ее упругость за счет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стимулирования синтеза белков матрикса кости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.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</w:p>
    <w:p w:rsidR="00B6362A" w:rsidRP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2D9C">
        <w:rPr>
          <w:rFonts w:ascii="Times New Roman" w:hAnsi="Times New Roman" w:cs="Times New Roman"/>
          <w:sz w:val="24"/>
          <w:szCs w:val="24"/>
        </w:rPr>
        <w:t xml:space="preserve">Хирургическое лечение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Показаниями к хирургическому лечению являются: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1. жалобы пациента на снижение слуха и наличие субъективного ушного шума;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кондуктивный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или смешанный характер тугоухости с КВИ - не менее 30 дБ;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lastRenderedPageBreak/>
        <w:t xml:space="preserve">3. отсутствие признаков активного отосклероза (по данным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отомикроскопии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 КТ височных костей);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>4. отсутствие перфорации барабанной перепонки и инфекции в наружном слуховом проходе;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5. отсутствие общих противопоказаний для проведения планового хирургического вмешательства. </w:t>
      </w: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Рекомендована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стапедопластика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Цель хирургического вмешательства – паллиативный способ реабилитации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 смешанной тугоухости у больных отосклерозом. Относительными противопоказаниями для выполнения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стапедопластики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являются активный отосклеротический процесс, операция на единственно слышащем ухе и наличие широкого водопровода преддверия по данным КТ височных костей. В зарубежной литературе имеются сведения развития послеоперационной глухоты у пациентов с отосклерозом и синдромом широкого водопровода преддверия.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имплантация. </w:t>
      </w:r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 xml:space="preserve">Рекомендуется у больных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формой отосклероза или высоких порогах слуха после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стапедопластики</w:t>
      </w:r>
      <w:proofErr w:type="spellEnd"/>
      <w:r w:rsidRPr="00AE2D9C">
        <w:rPr>
          <w:rFonts w:ascii="Times New Roman" w:hAnsi="Times New Roman" w:cs="Times New Roman"/>
          <w:sz w:val="24"/>
          <w:szCs w:val="24"/>
        </w:rPr>
        <w:t xml:space="preserve"> с двусторонней тугоухостью 4-5 степени, при разборчивости простых односложных слов </w:t>
      </w:r>
      <w:r w:rsidRPr="00AE2D9C">
        <w:rPr>
          <w:rFonts w:ascii="Times New Roman" w:hAnsi="Times New Roman" w:cs="Times New Roman"/>
          <w:sz w:val="24"/>
          <w:szCs w:val="24"/>
        </w:rPr>
        <w:sym w:font="Symbol" w:char="F03C"/>
      </w:r>
      <w:r w:rsidRPr="00AE2D9C">
        <w:rPr>
          <w:rFonts w:ascii="Times New Roman" w:hAnsi="Times New Roman" w:cs="Times New Roman"/>
          <w:sz w:val="24"/>
          <w:szCs w:val="24"/>
        </w:rPr>
        <w:t>30% по данным речевой аудиометрии с оптимально подобранными СА на оба уха, при отсутствие патологии улитки по данным КТ височных костей и МРТ, а также мотивации пациента</w:t>
      </w:r>
      <w:r w:rsidR="00AE2D9C" w:rsidRPr="00AE2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2D9C" w:rsidRPr="00AE2D9C">
        <w:rPr>
          <w:rFonts w:ascii="Times New Roman" w:hAnsi="Times New Roman" w:cs="Times New Roman"/>
          <w:sz w:val="24"/>
          <w:szCs w:val="24"/>
        </w:rPr>
        <w:br/>
      </w:r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sym w:font="Symbol" w:char="F0B7"/>
      </w:r>
      <w:r w:rsidRPr="00AE2D9C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слухопротезирование</w:t>
      </w:r>
      <w:proofErr w:type="spellEnd"/>
      <w:proofErr w:type="gramStart"/>
      <w:r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="00AE2D9C" w:rsidRPr="00AE2D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E2D9C" w:rsidRPr="00AE2D9C">
        <w:rPr>
          <w:rFonts w:ascii="Times New Roman" w:hAnsi="Times New Roman" w:cs="Times New Roman"/>
          <w:sz w:val="24"/>
          <w:szCs w:val="24"/>
        </w:rPr>
        <w:t xml:space="preserve"> </w:t>
      </w:r>
      <w:r w:rsidRPr="00AE2D9C">
        <w:rPr>
          <w:rFonts w:ascii="Times New Roman" w:hAnsi="Times New Roman" w:cs="Times New Roman"/>
          <w:sz w:val="24"/>
          <w:szCs w:val="24"/>
        </w:rPr>
        <w:t xml:space="preserve">Рекомендуется пациентам с высокими порогами КП (более 30 дБ) в том числе и после операции, при наличии единственно слышащего уха, </w:t>
      </w:r>
      <w:proofErr w:type="gramStart"/>
      <w:r w:rsidRPr="00AE2D9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E2D9C">
        <w:rPr>
          <w:rFonts w:ascii="Times New Roman" w:hAnsi="Times New Roman" w:cs="Times New Roman"/>
          <w:sz w:val="24"/>
          <w:szCs w:val="24"/>
        </w:rPr>
        <w:t xml:space="preserve"> общих противопоказаниями для </w:t>
      </w:r>
      <w:proofErr w:type="spellStart"/>
      <w:r w:rsidRPr="00AE2D9C">
        <w:rPr>
          <w:rFonts w:ascii="Times New Roman" w:hAnsi="Times New Roman" w:cs="Times New Roman"/>
          <w:sz w:val="24"/>
          <w:szCs w:val="24"/>
        </w:rPr>
        <w:t>выпо</w:t>
      </w:r>
      <w:proofErr w:type="spellEnd"/>
    </w:p>
    <w:p w:rsidR="00B6362A" w:rsidRPr="00AE2D9C" w:rsidRDefault="00B6362A" w:rsidP="00B6362A">
      <w:pPr>
        <w:rPr>
          <w:rFonts w:ascii="Times New Roman" w:hAnsi="Times New Roman" w:cs="Times New Roman"/>
          <w:sz w:val="24"/>
          <w:szCs w:val="24"/>
        </w:rPr>
      </w:pPr>
    </w:p>
    <w:p w:rsidR="00B6362A" w:rsidRPr="00AE2D9C" w:rsidRDefault="00B6362A" w:rsidP="00B6362A">
      <w:pPr>
        <w:rPr>
          <w:rFonts w:ascii="Times New Roman" w:hAnsi="Times New Roman" w:cs="Times New Roman"/>
          <w:sz w:val="24"/>
          <w:szCs w:val="24"/>
        </w:rPr>
      </w:pPr>
    </w:p>
    <w:p w:rsidR="00B6362A" w:rsidRPr="00AE2D9C" w:rsidRDefault="00B6362A" w:rsidP="00B6362A">
      <w:pPr>
        <w:rPr>
          <w:rFonts w:ascii="Times New Roman" w:hAnsi="Times New Roman" w:cs="Times New Roman"/>
          <w:sz w:val="24"/>
          <w:szCs w:val="24"/>
        </w:rPr>
      </w:pPr>
    </w:p>
    <w:p w:rsidR="00B6362A" w:rsidRPr="00AE2D9C" w:rsidRDefault="00B6362A" w:rsidP="00B6362A">
      <w:pPr>
        <w:rPr>
          <w:rFonts w:ascii="Times New Roman" w:hAnsi="Times New Roman" w:cs="Times New Roman"/>
          <w:sz w:val="24"/>
          <w:szCs w:val="24"/>
        </w:rPr>
      </w:pPr>
    </w:p>
    <w:p w:rsidR="00B6362A" w:rsidRPr="00AE2D9C" w:rsidRDefault="00B6362A" w:rsidP="00B6362A">
      <w:pPr>
        <w:rPr>
          <w:rFonts w:ascii="Times New Roman" w:hAnsi="Times New Roman" w:cs="Times New Roman"/>
          <w:sz w:val="24"/>
          <w:szCs w:val="24"/>
        </w:rPr>
      </w:pPr>
    </w:p>
    <w:p w:rsidR="00B6362A" w:rsidRPr="00AE2D9C" w:rsidRDefault="00B6362A" w:rsidP="00B6362A">
      <w:pPr>
        <w:rPr>
          <w:rFonts w:ascii="Times New Roman" w:hAnsi="Times New Roman" w:cs="Times New Roman"/>
          <w:sz w:val="24"/>
          <w:szCs w:val="24"/>
        </w:rPr>
      </w:pPr>
    </w:p>
    <w:p w:rsidR="00B6362A" w:rsidRPr="005F3FC6" w:rsidRDefault="00B6362A" w:rsidP="00B6362A"/>
    <w:p w:rsidR="00B6362A" w:rsidRPr="005F3FC6" w:rsidRDefault="00B6362A" w:rsidP="00B6362A"/>
    <w:p w:rsidR="00B6362A" w:rsidRPr="005F3FC6" w:rsidRDefault="00B6362A" w:rsidP="00B6362A"/>
    <w:p w:rsidR="00B6362A" w:rsidRPr="005F3FC6" w:rsidRDefault="00B6362A" w:rsidP="00B6362A"/>
    <w:p w:rsidR="00B6362A" w:rsidRPr="005F3FC6" w:rsidRDefault="00B6362A" w:rsidP="00B6362A"/>
    <w:p w:rsidR="00B6362A" w:rsidRPr="005F3FC6" w:rsidRDefault="00B6362A" w:rsidP="00B6362A"/>
    <w:p w:rsidR="00B6362A" w:rsidRPr="005F3FC6" w:rsidRDefault="00B6362A" w:rsidP="00B6362A"/>
    <w:p w:rsidR="0077127C" w:rsidRDefault="0077127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1.Клинические рекомендации МЗ РФ национальной медицинской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2016г.</w:t>
      </w:r>
    </w:p>
    <w:p w:rsidR="00AE2D9C" w:rsidRPr="00AE2D9C" w:rsidRDefault="00AE2D9C" w:rsidP="001D74AB">
      <w:pPr>
        <w:spacing w:after="4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7A21">
        <w:rPr>
          <w:rFonts w:ascii="Times New Roman" w:hAnsi="Times New Roman" w:cs="Times New Roman"/>
          <w:sz w:val="24"/>
          <w:szCs w:val="24"/>
        </w:rPr>
        <w:t xml:space="preserve">Учебник для ВУЗов Оториноларингология </w:t>
      </w:r>
      <w:proofErr w:type="spellStart"/>
      <w:r w:rsidR="000C7A21">
        <w:rPr>
          <w:rFonts w:ascii="Times New Roman" w:hAnsi="Times New Roman" w:cs="Times New Roman"/>
          <w:sz w:val="24"/>
          <w:szCs w:val="24"/>
        </w:rPr>
        <w:t>В.Т.Пальчун</w:t>
      </w:r>
      <w:proofErr w:type="spellEnd"/>
      <w:r w:rsidR="000C7A21">
        <w:rPr>
          <w:rFonts w:ascii="Times New Roman" w:hAnsi="Times New Roman" w:cs="Times New Roman"/>
          <w:sz w:val="24"/>
          <w:szCs w:val="24"/>
        </w:rPr>
        <w:t xml:space="preserve">, М.М. Магомедов, </w:t>
      </w:r>
      <w:proofErr w:type="spellStart"/>
      <w:r w:rsidR="000C7A21">
        <w:rPr>
          <w:rFonts w:ascii="Times New Roman" w:hAnsi="Times New Roman" w:cs="Times New Roman"/>
          <w:sz w:val="24"/>
          <w:szCs w:val="24"/>
        </w:rPr>
        <w:t>Л.А.Лучихин</w:t>
      </w:r>
      <w:proofErr w:type="spellEnd"/>
      <w:r w:rsidR="000C7A21">
        <w:rPr>
          <w:rFonts w:ascii="Times New Roman" w:hAnsi="Times New Roman" w:cs="Times New Roman"/>
          <w:sz w:val="24"/>
          <w:szCs w:val="24"/>
        </w:rPr>
        <w:t>.</w:t>
      </w:r>
    </w:p>
    <w:sectPr w:rsidR="00AE2D9C" w:rsidRPr="00AE2D9C" w:rsidSect="000E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7E" w:rsidRDefault="00BE477E" w:rsidP="00E763AD">
      <w:pPr>
        <w:spacing w:after="0" w:line="240" w:lineRule="auto"/>
      </w:pPr>
      <w:r>
        <w:separator/>
      </w:r>
    </w:p>
  </w:endnote>
  <w:endnote w:type="continuationSeparator" w:id="0">
    <w:p w:rsidR="00BE477E" w:rsidRDefault="00BE477E" w:rsidP="00E7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7E" w:rsidRDefault="00BE477E" w:rsidP="00E763AD">
      <w:pPr>
        <w:spacing w:after="0" w:line="240" w:lineRule="auto"/>
      </w:pPr>
      <w:r>
        <w:separator/>
      </w:r>
    </w:p>
  </w:footnote>
  <w:footnote w:type="continuationSeparator" w:id="0">
    <w:p w:rsidR="00BE477E" w:rsidRDefault="00BE477E" w:rsidP="00E7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1FAEBC6"/>
    <w:lvl w:ilvl="0" w:tplc="B77A7724">
      <w:start w:val="1"/>
      <w:numFmt w:val="decimal"/>
      <w:lvlText w:val="%1)"/>
      <w:lvlJc w:val="left"/>
    </w:lvl>
    <w:lvl w:ilvl="1" w:tplc="3E8E1A92">
      <w:start w:val="1"/>
      <w:numFmt w:val="bullet"/>
      <w:lvlText w:val="В"/>
      <w:lvlJc w:val="left"/>
    </w:lvl>
    <w:lvl w:ilvl="2" w:tplc="969C7DD6">
      <w:numFmt w:val="decimal"/>
      <w:lvlText w:val=""/>
      <w:lvlJc w:val="left"/>
    </w:lvl>
    <w:lvl w:ilvl="3" w:tplc="EB06E44C">
      <w:numFmt w:val="decimal"/>
      <w:lvlText w:val=""/>
      <w:lvlJc w:val="left"/>
    </w:lvl>
    <w:lvl w:ilvl="4" w:tplc="EB64DAD4">
      <w:numFmt w:val="decimal"/>
      <w:lvlText w:val=""/>
      <w:lvlJc w:val="left"/>
    </w:lvl>
    <w:lvl w:ilvl="5" w:tplc="969ED5A0">
      <w:numFmt w:val="decimal"/>
      <w:lvlText w:val=""/>
      <w:lvlJc w:val="left"/>
    </w:lvl>
    <w:lvl w:ilvl="6" w:tplc="10945E56">
      <w:numFmt w:val="decimal"/>
      <w:lvlText w:val=""/>
      <w:lvlJc w:val="left"/>
    </w:lvl>
    <w:lvl w:ilvl="7" w:tplc="7F462FD6">
      <w:numFmt w:val="decimal"/>
      <w:lvlText w:val=""/>
      <w:lvlJc w:val="left"/>
    </w:lvl>
    <w:lvl w:ilvl="8" w:tplc="A0963F2C">
      <w:numFmt w:val="decimal"/>
      <w:lvlText w:val=""/>
      <w:lvlJc w:val="left"/>
    </w:lvl>
  </w:abstractNum>
  <w:abstractNum w:abstractNumId="1">
    <w:nsid w:val="00000124"/>
    <w:multiLevelType w:val="hybridMultilevel"/>
    <w:tmpl w:val="00E21A58"/>
    <w:lvl w:ilvl="0" w:tplc="142E7BD6">
      <w:start w:val="1"/>
      <w:numFmt w:val="decimal"/>
      <w:lvlText w:val="%1)"/>
      <w:lvlJc w:val="left"/>
    </w:lvl>
    <w:lvl w:ilvl="1" w:tplc="22B83F00">
      <w:start w:val="1"/>
      <w:numFmt w:val="bullet"/>
      <w:lvlText w:val="В"/>
      <w:lvlJc w:val="left"/>
    </w:lvl>
    <w:lvl w:ilvl="2" w:tplc="643CAE22">
      <w:numFmt w:val="decimal"/>
      <w:lvlText w:val=""/>
      <w:lvlJc w:val="left"/>
    </w:lvl>
    <w:lvl w:ilvl="3" w:tplc="FFA27BAE">
      <w:numFmt w:val="decimal"/>
      <w:lvlText w:val=""/>
      <w:lvlJc w:val="left"/>
    </w:lvl>
    <w:lvl w:ilvl="4" w:tplc="5A9A2B54">
      <w:numFmt w:val="decimal"/>
      <w:lvlText w:val=""/>
      <w:lvlJc w:val="left"/>
    </w:lvl>
    <w:lvl w:ilvl="5" w:tplc="A926A396">
      <w:numFmt w:val="decimal"/>
      <w:lvlText w:val=""/>
      <w:lvlJc w:val="left"/>
    </w:lvl>
    <w:lvl w:ilvl="6" w:tplc="58A88384">
      <w:numFmt w:val="decimal"/>
      <w:lvlText w:val=""/>
      <w:lvlJc w:val="left"/>
    </w:lvl>
    <w:lvl w:ilvl="7" w:tplc="C318F502">
      <w:numFmt w:val="decimal"/>
      <w:lvlText w:val=""/>
      <w:lvlJc w:val="left"/>
    </w:lvl>
    <w:lvl w:ilvl="8" w:tplc="0D3AD684">
      <w:numFmt w:val="decimal"/>
      <w:lvlText w:val=""/>
      <w:lvlJc w:val="left"/>
    </w:lvl>
  </w:abstractNum>
  <w:abstractNum w:abstractNumId="2">
    <w:nsid w:val="00000F3E"/>
    <w:multiLevelType w:val="hybridMultilevel"/>
    <w:tmpl w:val="14EE698A"/>
    <w:lvl w:ilvl="0" w:tplc="67B034DA">
      <w:start w:val="1"/>
      <w:numFmt w:val="bullet"/>
      <w:lvlText w:val="в"/>
      <w:lvlJc w:val="left"/>
    </w:lvl>
    <w:lvl w:ilvl="1" w:tplc="01D21AC4">
      <w:numFmt w:val="decimal"/>
      <w:lvlText w:val=""/>
      <w:lvlJc w:val="left"/>
    </w:lvl>
    <w:lvl w:ilvl="2" w:tplc="22A20FAA">
      <w:numFmt w:val="decimal"/>
      <w:lvlText w:val=""/>
      <w:lvlJc w:val="left"/>
    </w:lvl>
    <w:lvl w:ilvl="3" w:tplc="6DB054C8">
      <w:numFmt w:val="decimal"/>
      <w:lvlText w:val=""/>
      <w:lvlJc w:val="left"/>
    </w:lvl>
    <w:lvl w:ilvl="4" w:tplc="088ADC86">
      <w:numFmt w:val="decimal"/>
      <w:lvlText w:val=""/>
      <w:lvlJc w:val="left"/>
    </w:lvl>
    <w:lvl w:ilvl="5" w:tplc="A5762FF0">
      <w:numFmt w:val="decimal"/>
      <w:lvlText w:val=""/>
      <w:lvlJc w:val="left"/>
    </w:lvl>
    <w:lvl w:ilvl="6" w:tplc="7CC2AFE6">
      <w:numFmt w:val="decimal"/>
      <w:lvlText w:val=""/>
      <w:lvlJc w:val="left"/>
    </w:lvl>
    <w:lvl w:ilvl="7" w:tplc="B22CD04C">
      <w:numFmt w:val="decimal"/>
      <w:lvlText w:val=""/>
      <w:lvlJc w:val="left"/>
    </w:lvl>
    <w:lvl w:ilvl="8" w:tplc="B3240688">
      <w:numFmt w:val="decimal"/>
      <w:lvlText w:val=""/>
      <w:lvlJc w:val="left"/>
    </w:lvl>
  </w:abstractNum>
  <w:abstractNum w:abstractNumId="3">
    <w:nsid w:val="0000305E"/>
    <w:multiLevelType w:val="hybridMultilevel"/>
    <w:tmpl w:val="20A00FAC"/>
    <w:lvl w:ilvl="0" w:tplc="9B94F166">
      <w:start w:val="1"/>
      <w:numFmt w:val="bullet"/>
      <w:lvlText w:val="а"/>
      <w:lvlJc w:val="left"/>
    </w:lvl>
    <w:lvl w:ilvl="1" w:tplc="9284791E">
      <w:numFmt w:val="decimal"/>
      <w:lvlText w:val=""/>
      <w:lvlJc w:val="left"/>
    </w:lvl>
    <w:lvl w:ilvl="2" w:tplc="E59AD4A2">
      <w:numFmt w:val="decimal"/>
      <w:lvlText w:val=""/>
      <w:lvlJc w:val="left"/>
    </w:lvl>
    <w:lvl w:ilvl="3" w:tplc="D5AA5B36">
      <w:numFmt w:val="decimal"/>
      <w:lvlText w:val=""/>
      <w:lvlJc w:val="left"/>
    </w:lvl>
    <w:lvl w:ilvl="4" w:tplc="942E4D7E">
      <w:numFmt w:val="decimal"/>
      <w:lvlText w:val=""/>
      <w:lvlJc w:val="left"/>
    </w:lvl>
    <w:lvl w:ilvl="5" w:tplc="4CE20D34">
      <w:numFmt w:val="decimal"/>
      <w:lvlText w:val=""/>
      <w:lvlJc w:val="left"/>
    </w:lvl>
    <w:lvl w:ilvl="6" w:tplc="D8BA0470">
      <w:numFmt w:val="decimal"/>
      <w:lvlText w:val=""/>
      <w:lvlJc w:val="left"/>
    </w:lvl>
    <w:lvl w:ilvl="7" w:tplc="B5F4DFB4">
      <w:numFmt w:val="decimal"/>
      <w:lvlText w:val=""/>
      <w:lvlJc w:val="left"/>
    </w:lvl>
    <w:lvl w:ilvl="8" w:tplc="B8ECAAEC">
      <w:numFmt w:val="decimal"/>
      <w:lvlText w:val=""/>
      <w:lvlJc w:val="left"/>
    </w:lvl>
  </w:abstractNum>
  <w:abstractNum w:abstractNumId="4">
    <w:nsid w:val="1A7D5D66"/>
    <w:multiLevelType w:val="hybridMultilevel"/>
    <w:tmpl w:val="CA14EE8A"/>
    <w:lvl w:ilvl="0" w:tplc="D6E234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34FE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807D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960A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A8A7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82E8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D47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EADB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E00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27E4677"/>
    <w:multiLevelType w:val="hybridMultilevel"/>
    <w:tmpl w:val="E91A375C"/>
    <w:lvl w:ilvl="0" w:tplc="53F433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A027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2056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AE05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ECC8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80D3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2CEB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E9CF6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890CF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30E64EA"/>
    <w:multiLevelType w:val="hybridMultilevel"/>
    <w:tmpl w:val="83F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25128"/>
    <w:multiLevelType w:val="hybridMultilevel"/>
    <w:tmpl w:val="6BE46AC2"/>
    <w:lvl w:ilvl="0" w:tplc="13EEFB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82BA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6C58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702F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3E09A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E6C3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4A34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A045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7A33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3F80450B"/>
    <w:multiLevelType w:val="hybridMultilevel"/>
    <w:tmpl w:val="EF36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16F54"/>
    <w:multiLevelType w:val="hybridMultilevel"/>
    <w:tmpl w:val="8FD8D468"/>
    <w:lvl w:ilvl="0" w:tplc="29D8C0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5E67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8B6E4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4E71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AC88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C637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F465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FE069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FE36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505B74E4"/>
    <w:multiLevelType w:val="hybridMultilevel"/>
    <w:tmpl w:val="2E78FC14"/>
    <w:lvl w:ilvl="0" w:tplc="178483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6CA1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60A4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FC53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D8FF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4DC34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F4F9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6451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76F8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5A64072F"/>
    <w:multiLevelType w:val="hybridMultilevel"/>
    <w:tmpl w:val="5F98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64879"/>
    <w:multiLevelType w:val="hybridMultilevel"/>
    <w:tmpl w:val="180C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22A6D"/>
    <w:multiLevelType w:val="hybridMultilevel"/>
    <w:tmpl w:val="BF2EEC6A"/>
    <w:lvl w:ilvl="0" w:tplc="5E9847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123E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98FF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B067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16A3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F033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3EF5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9841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C3677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667D0DAA"/>
    <w:multiLevelType w:val="hybridMultilevel"/>
    <w:tmpl w:val="DD3ABD30"/>
    <w:lvl w:ilvl="0" w:tplc="8FA645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9B211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9AA9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CA60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20DC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2C04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EC35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B203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2A48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686833D4"/>
    <w:multiLevelType w:val="hybridMultilevel"/>
    <w:tmpl w:val="0EBA6B26"/>
    <w:lvl w:ilvl="0" w:tplc="1F8E0F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38A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30C6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32BF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B668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F85D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55646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E409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19CB8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702B71D7"/>
    <w:multiLevelType w:val="multilevel"/>
    <w:tmpl w:val="1546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46371"/>
    <w:multiLevelType w:val="hybridMultilevel"/>
    <w:tmpl w:val="E9E6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17"/>
  </w:num>
  <w:num w:numId="9">
    <w:abstractNumId w:val="6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E"/>
    <w:rsid w:val="000853E5"/>
    <w:rsid w:val="000C7A21"/>
    <w:rsid w:val="000E1647"/>
    <w:rsid w:val="001802DC"/>
    <w:rsid w:val="001B2B9E"/>
    <w:rsid w:val="001D74AB"/>
    <w:rsid w:val="002B1F8C"/>
    <w:rsid w:val="003541E9"/>
    <w:rsid w:val="003C160E"/>
    <w:rsid w:val="003F2865"/>
    <w:rsid w:val="004A1F81"/>
    <w:rsid w:val="005511FC"/>
    <w:rsid w:val="005F3FC6"/>
    <w:rsid w:val="00662724"/>
    <w:rsid w:val="00674499"/>
    <w:rsid w:val="00697201"/>
    <w:rsid w:val="0077127C"/>
    <w:rsid w:val="0098438A"/>
    <w:rsid w:val="00A3695A"/>
    <w:rsid w:val="00A518D2"/>
    <w:rsid w:val="00AA6498"/>
    <w:rsid w:val="00AE2D9C"/>
    <w:rsid w:val="00B177CE"/>
    <w:rsid w:val="00B6362A"/>
    <w:rsid w:val="00B716EB"/>
    <w:rsid w:val="00B96110"/>
    <w:rsid w:val="00BE477E"/>
    <w:rsid w:val="00C06312"/>
    <w:rsid w:val="00C27B16"/>
    <w:rsid w:val="00CE5D2B"/>
    <w:rsid w:val="00D956E5"/>
    <w:rsid w:val="00E763AD"/>
    <w:rsid w:val="00F13898"/>
    <w:rsid w:val="00F8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7"/>
  </w:style>
  <w:style w:type="paragraph" w:styleId="1">
    <w:name w:val="heading 1"/>
    <w:basedOn w:val="a"/>
    <w:next w:val="a"/>
    <w:link w:val="10"/>
    <w:uiPriority w:val="9"/>
    <w:qFormat/>
    <w:rsid w:val="00AA649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49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B1F8C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B1F8C"/>
    <w:pPr>
      <w:spacing w:after="100"/>
    </w:pPr>
  </w:style>
  <w:style w:type="character" w:styleId="a6">
    <w:name w:val="Hyperlink"/>
    <w:basedOn w:val="a0"/>
    <w:uiPriority w:val="99"/>
    <w:unhideWhenUsed/>
    <w:rsid w:val="002B1F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3AD"/>
  </w:style>
  <w:style w:type="paragraph" w:styleId="ac">
    <w:name w:val="footer"/>
    <w:basedOn w:val="a"/>
    <w:link w:val="ad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6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7"/>
  </w:style>
  <w:style w:type="paragraph" w:styleId="1">
    <w:name w:val="heading 1"/>
    <w:basedOn w:val="a"/>
    <w:next w:val="a"/>
    <w:link w:val="10"/>
    <w:uiPriority w:val="9"/>
    <w:qFormat/>
    <w:rsid w:val="00AA649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49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B1F8C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B1F8C"/>
    <w:pPr>
      <w:spacing w:after="100"/>
    </w:pPr>
  </w:style>
  <w:style w:type="character" w:styleId="a6">
    <w:name w:val="Hyperlink"/>
    <w:basedOn w:val="a0"/>
    <w:uiPriority w:val="99"/>
    <w:unhideWhenUsed/>
    <w:rsid w:val="002B1F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3AD"/>
  </w:style>
  <w:style w:type="paragraph" w:styleId="ac">
    <w:name w:val="footer"/>
    <w:basedOn w:val="a"/>
    <w:link w:val="ad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5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4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2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2E56-CAC1-4DFF-8B7A-EB095642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3</cp:revision>
  <cp:lastPrinted>2020-01-09T08:52:00Z</cp:lastPrinted>
  <dcterms:created xsi:type="dcterms:W3CDTF">2021-06-07T11:18:00Z</dcterms:created>
  <dcterms:modified xsi:type="dcterms:W3CDTF">2021-06-07T11:40:00Z</dcterms:modified>
</cp:coreProperties>
</file>