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79207A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CC1BA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79207A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9207A">
              <w:rPr>
                <w:color w:val="000000"/>
                <w:sz w:val="24"/>
                <w:szCs w:val="24"/>
                <w:lang w:eastAsia="ru-RU" w:bidi="ru-RU"/>
              </w:rPr>
              <w:t>Трансплантология и искусственные органы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79207A" w:rsidRDefault="0079207A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79207A">
        <w:rPr>
          <w:b/>
          <w:color w:val="000000"/>
          <w:sz w:val="24"/>
          <w:szCs w:val="24"/>
          <w:lang w:eastAsia="ru-RU" w:bidi="ru-RU"/>
        </w:rPr>
        <w:t>Трансплантология и искусственные органы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806417">
        <w:t>Цель изучения дисциплины</w:t>
      </w:r>
      <w:r w:rsidR="00E25943" w:rsidRPr="00806417">
        <w:t xml:space="preserve"> </w:t>
      </w:r>
      <w:r w:rsidRPr="00806417">
        <w:t>– состоит</w:t>
      </w:r>
      <w:r w:rsidR="00CC1BA1" w:rsidRPr="00806417">
        <w:t xml:space="preserve"> в </w:t>
      </w:r>
      <w:r w:rsidR="00806417">
        <w:t xml:space="preserve">обучение квалифицированных научных кадров в области основ трансплантологии и искусственных органов, способных вести научно-исследовательскую работу, самостоятельно ставить и решать актуальные научные, социально-экономические и организационно-медицинские задачи, адекватно воспринимать научные достижения специалистов в области трансплантологии и искусственных органов, передавать свои знания научной и медицинской общественности. 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ОПК-4 готовность</w:t>
      </w:r>
      <w:r w:rsidR="00E77021" w:rsidRPr="00F01728">
        <w:t xml:space="preserve"> </w:t>
      </w:r>
      <w:r w:rsidRPr="00F01728">
        <w:t>к внедрению разработанных методов и методик, направленных на 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lastRenderedPageBreak/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bookmarkStart w:id="2" w:name="_GoBack"/>
      <w:bookmarkEnd w:id="2"/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lastRenderedPageBreak/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</w:t>
      </w:r>
      <w:r w:rsidRPr="00FA3B48">
        <w:lastRenderedPageBreak/>
        <w:t>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</w:t>
      </w:r>
      <w:r w:rsidRPr="00FA3B48">
        <w:lastRenderedPageBreak/>
        <w:t>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ОПК-2 способность и готовностью к проведению прикладных научных исследований в </w:t>
      </w:r>
      <w:r w:rsidRPr="00FA3B48">
        <w:lastRenderedPageBreak/>
        <w:t>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06417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2</cp:revision>
  <cp:lastPrinted>2018-10-18T02:52:00Z</cp:lastPrinted>
  <dcterms:created xsi:type="dcterms:W3CDTF">2018-11-01T09:02:00Z</dcterms:created>
  <dcterms:modified xsi:type="dcterms:W3CDTF">2018-11-01T09:02:00Z</dcterms:modified>
</cp:coreProperties>
</file>