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pStyle w:val="a6"/>
        <w:jc w:val="center"/>
        <w:numPr>
          <w:ilvl w:val="0"/>
          <w:numId w:val="1"/>
        </w:numPr>
        <w:spacing w:after="0" w:line="100" w:lineRule="atLeast"/>
        <w:rPr>
          <w:rFonts w:ascii="Times New Roman" w:eastAsia="Times New Roman" w:hAnsi="Times New Roman" w:hint="default"/>
          <w:color w:val="auto"/>
          <w:sz w:val="28"/>
          <w:szCs w:val="28"/>
        </w:rPr>
      </w:pPr>
      <w:r>
        <w:rPr>
          <w:rFonts w:ascii="Times New Roman" w:eastAsia="Times New Roman" w:hAnsi="Times New Roman"/>
          <w:bCs/>
          <w:iCs/>
          <w:color w:val="auto"/>
          <w:sz w:val="28"/>
          <w:szCs w:val="28"/>
        </w:rPr>
        <w:t>ФГБОУ ВО КрасГМУ</w:t>
      </w:r>
      <w:r>
        <w:rPr>
          <w:rFonts w:ascii="Times New Roman" w:eastAsia="Times New Roman" w:hAnsi="Times New Roman"/>
          <w:color w:val="auto"/>
          <w:sz w:val="28"/>
          <w:szCs w:val="28"/>
        </w:rPr>
        <w:t>им. проф. В.Ф. Войно-Ясенецкого Минздрава России</w:t>
      </w:r>
    </w:p>
    <w:p>
      <w:pPr>
        <w:pStyle w:val="a6"/>
        <w:jc w:val="center"/>
        <w:numPr>
          <w:ilvl w:val="0"/>
          <w:numId w:val="1"/>
        </w:numPr>
        <w:tabs>
          <w:tab w:val="center" w:pos="4821"/>
        </w:tabs>
        <w:spacing w:after="0" w:line="100" w:lineRule="atLeast"/>
        <w:rPr>
          <w:rFonts w:ascii="Times New Roman" w:eastAsia="Times New Roman" w:hAnsi="Times New Roman" w:hint="default"/>
          <w:color w:val="auto"/>
          <w:sz w:val="28"/>
          <w:szCs w:val="28"/>
        </w:rPr>
      </w:pPr>
      <w:r>
        <w:rPr>
          <w:rFonts w:ascii="Times New Roman" w:eastAsia="Times New Roman" w:hAnsi="Times New Roman"/>
          <w:color w:val="auto"/>
          <w:sz w:val="28"/>
          <w:szCs w:val="28"/>
        </w:rPr>
        <w:t>Фармацевтический колледж</w:t>
      </w:r>
    </w:p>
    <w:p>
      <w:pPr>
        <w:pStyle w:val="af3"/>
        <w:jc w:val="center"/>
        <w:numPr>
          <w:ilvl w:val="0"/>
          <w:numId w:val="1"/>
        </w:numPr>
        <w:tabs>
          <w:tab w:val="center" w:pos="4821"/>
        </w:tabs>
        <w:spacing w:after="0" w:line="240" w:lineRule="auto"/>
        <w:rPr>
          <w:rFonts w:ascii="Times New Roman" w:eastAsia="Times New Roman" w:hAnsi="Times New Roman"/>
          <w:b/>
          <w:bCs/>
          <w:i/>
          <w:sz w:val="28"/>
          <w:szCs w:val="28"/>
        </w:rPr>
      </w:pPr>
    </w:p>
    <w:p>
      <w:pPr>
        <w:pStyle w:val="af3"/>
        <w:jc w:val="center"/>
        <w:numPr>
          <w:ilvl w:val="0"/>
          <w:numId w:val="1"/>
        </w:numPr>
        <w:tabs>
          <w:tab w:val="center" w:pos="4821"/>
        </w:tabs>
        <w:rPr>
          <w:rFonts w:ascii="Times New Roman" w:eastAsia="Times New Roman" w:hAnsi="Times New Roman"/>
          <w:b/>
          <w:bCs/>
          <w:sz w:val="28"/>
          <w:szCs w:val="28"/>
        </w:rPr>
      </w:pPr>
    </w:p>
    <w:p>
      <w:pPr>
        <w:pStyle w:val="21"/>
        <w:keepLines w:val="off"/>
        <w:widowControl/>
        <w:jc w:val="center"/>
        <w:numPr>
          <w:ilvl w:val="0"/>
          <w:numId w:val="1"/>
        </w:numPr>
        <w:tabs>
          <w:tab w:val="left" w:pos="576"/>
          <w:tab w:val="left" w:pos="708"/>
        </w:tabs>
        <w:spacing w:before="0" w:line="100" w:lineRule="atLeast"/>
        <w:rPr>
          <w:rFonts w:ascii="Times New Roman" w:eastAsia="Times New Roman" w:hAnsi="Times New Roman" w:cs="Times New Roman"/>
          <w:b w:val="0"/>
          <w:sz w:val="28"/>
          <w:szCs w:val="28"/>
        </w:rPr>
      </w:pPr>
    </w:p>
    <w:p>
      <w:pPr>
        <w:pStyle w:val="21"/>
        <w:keepLines w:val="off"/>
        <w:widowControl/>
        <w:jc w:val="center"/>
        <w:numPr>
          <w:ilvl w:val="0"/>
          <w:numId w:val="1"/>
        </w:numPr>
        <w:tabs>
          <w:tab w:val="left" w:pos="576"/>
          <w:tab w:val="left" w:pos="708"/>
        </w:tabs>
        <w:spacing w:before="0" w:line="100" w:lineRule="atLeast"/>
        <w:rPr>
          <w:rFonts w:ascii="Times New Roman" w:eastAsia="Times New Roman" w:hAnsi="Times New Roman" w:cs="Times New Roman"/>
          <w:color w:val="auto"/>
          <w:sz w:val="40"/>
          <w:szCs w:val="40"/>
          <w:rtl w:val="off"/>
        </w:rPr>
      </w:pPr>
    </w:p>
    <w:p>
      <w:pPr>
        <w:pStyle w:val="21"/>
        <w:keepLines w:val="off"/>
        <w:widowControl/>
        <w:jc w:val="center"/>
        <w:numPr>
          <w:ilvl w:val="0"/>
          <w:numId w:val="1"/>
        </w:numPr>
        <w:tabs>
          <w:tab w:val="left" w:pos="576"/>
          <w:tab w:val="left" w:pos="708"/>
        </w:tabs>
        <w:spacing w:before="0" w:line="100" w:lineRule="atLeast"/>
        <w:rPr>
          <w:rFonts w:ascii="Times New Roman" w:eastAsia="Times New Roman" w:hAnsi="Times New Roman" w:cs="Times New Roman"/>
          <w:color w:val="auto"/>
          <w:sz w:val="40"/>
          <w:szCs w:val="40"/>
          <w:rtl w:val="off"/>
        </w:rPr>
      </w:pPr>
    </w:p>
    <w:p>
      <w:pPr>
        <w:pStyle w:val="21"/>
        <w:keepLines w:val="off"/>
        <w:widowControl/>
        <w:jc w:val="center"/>
        <w:numPr>
          <w:ilvl w:val="0"/>
          <w:numId w:val="1"/>
        </w:numPr>
        <w:tabs>
          <w:tab w:val="left" w:pos="576"/>
          <w:tab w:val="left" w:pos="708"/>
        </w:tabs>
        <w:spacing w:before="0" w:line="100" w:lineRule="atLeast"/>
        <w:rPr>
          <w:rFonts w:ascii="Times New Roman" w:eastAsia="Times New Roman" w:hAnsi="Times New Roman" w:cs="Times New Roman"/>
          <w:color w:val="auto"/>
          <w:sz w:val="40"/>
          <w:szCs w:val="40"/>
          <w:rtl w:val="off"/>
        </w:rPr>
      </w:pPr>
    </w:p>
    <w:p>
      <w:pPr>
        <w:pStyle w:val="21"/>
        <w:keepLines w:val="off"/>
        <w:widowControl/>
        <w:jc w:val="center"/>
        <w:numPr>
          <w:ilvl w:val="0"/>
          <w:numId w:val="1"/>
        </w:numPr>
        <w:tabs>
          <w:tab w:val="left" w:pos="576"/>
          <w:tab w:val="left" w:pos="708"/>
        </w:tabs>
        <w:spacing w:before="0" w:line="100" w:lineRule="atLeast"/>
        <w:rPr>
          <w:rFonts w:ascii="Times New Roman" w:eastAsia="Times New Roman" w:hAnsi="Times New Roman" w:cs="Times New Roman"/>
          <w:b w:val="0"/>
          <w:i/>
          <w:color w:val="auto"/>
          <w:sz w:val="40"/>
          <w:szCs w:val="40"/>
        </w:rPr>
      </w:pP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>ДНЕВНИК</w:t>
      </w:r>
    </w:p>
    <w:p>
      <w:pPr>
        <w:pStyle w:val="af3"/>
        <w:jc w:val="center"/>
        <w:numPr>
          <w:ilvl w:val="0"/>
          <w:numId w:val="1"/>
        </w:numPr>
        <w:rPr>
          <w:rFonts w:ascii="Times New Roman" w:eastAsia="Times New Roman" w:hAnsi="Times New Roman"/>
          <w:b/>
          <w:sz w:val="40"/>
          <w:szCs w:val="40"/>
        </w:rPr>
      </w:pPr>
      <w:r>
        <w:rPr>
          <w:rFonts w:ascii="Times New Roman" w:eastAsia="Times New Roman" w:hAnsi="Times New Roman"/>
          <w:b/>
          <w:sz w:val="40"/>
          <w:szCs w:val="40"/>
        </w:rPr>
        <w:t>преддипломной практики</w:t>
      </w:r>
    </w:p>
    <w:p>
      <w:pPr>
        <w:pStyle w:val="a6"/>
        <w:jc w:val="both"/>
        <w:numPr>
          <w:ilvl w:val="0"/>
          <w:numId w:val="1"/>
        </w:numPr>
        <w:spacing w:after="0"/>
        <w:rPr>
          <w:rFonts w:ascii="Times New Roman" w:eastAsia="Times New Roman" w:hAnsi="Times New Roman"/>
          <w:color w:val="000000"/>
          <w:sz w:val="28"/>
          <w:szCs w:val="28"/>
          <w:rtl w:val="off"/>
        </w:rPr>
      </w:pPr>
    </w:p>
    <w:p>
      <w:pPr>
        <w:pStyle w:val="a6"/>
        <w:jc w:val="both"/>
        <w:numPr>
          <w:ilvl w:val="0"/>
          <w:numId w:val="1"/>
        </w:numPr>
        <w:spacing w:after="0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МДК. 01.01. Лекарствоведение</w:t>
      </w:r>
    </w:p>
    <w:p>
      <w:pPr>
        <w:pStyle w:val="aff8"/>
        <w:widowControl/>
        <w:jc w:val="both"/>
        <w:numPr>
          <w:ilvl w:val="0"/>
          <w:numId w:val="1"/>
        </w:numPr>
        <w:tabs>
          <w:tab w:val="left" w:pos="708"/>
        </w:tabs>
        <w:spacing w:after="0" w:line="100" w:lineRule="atLeast"/>
        <w:rPr>
          <w:rFonts w:ascii="Times New Roman" w:eastAsia="Times New Roman" w:hAnsi="Times New Roman" w:hint="default"/>
          <w:sz w:val="28"/>
          <w:szCs w:val="28"/>
          <w:u w:val="single" w:color="auto"/>
        </w:rPr>
      </w:pPr>
    </w:p>
    <w:p>
      <w:pPr>
        <w:pStyle w:val="aff8"/>
        <w:ind w:right="849"/>
        <w:widowControl/>
        <w:jc w:val="both"/>
        <w:numPr>
          <w:ilvl w:val="0"/>
          <w:numId w:val="1"/>
        </w:numPr>
        <w:tabs>
          <w:tab w:val="left"/>
          <w:tab w:val="left" w:pos="708"/>
        </w:tabs>
        <w:spacing w:after="0" w:line="100" w:lineRule="atLeast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Ф.И.О_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 xml:space="preserve">Абдилазисова Гулифар Хашимжановна </w:t>
      </w:r>
    </w:p>
    <w:p>
      <w:pPr>
        <w:pStyle w:val="aff8"/>
        <w:ind w:left="0" w:right="849"/>
        <w:widowControl/>
        <w:jc w:val="both"/>
        <w:tabs>
          <w:tab w:val="left"/>
          <w:tab w:val="left" w:pos="708"/>
        </w:tabs>
        <w:spacing w:after="0" w:line="100" w:lineRule="atLeast"/>
        <w:rPr>
          <w:rFonts w:ascii="Times New Roman" w:eastAsia="Times New Roman" w:hAnsi="Times New Roman" w:hint="default"/>
          <w:sz w:val="28"/>
          <w:szCs w:val="28"/>
        </w:rPr>
      </w:pPr>
    </w:p>
    <w:p>
      <w:pPr>
        <w:pStyle w:val="aff8"/>
        <w:widowControl/>
        <w:jc w:val="both"/>
        <w:numPr>
          <w:ilvl w:val="0"/>
          <w:numId w:val="1"/>
        </w:numPr>
        <w:tabs>
          <w:tab w:val="left" w:pos="708"/>
        </w:tabs>
        <w:spacing w:after="0" w:line="100" w:lineRule="atLeast"/>
        <w:rPr>
          <w:rFonts w:ascii="Times New Roman" w:eastAsia="Times New Roman" w:hAnsi="Times New Roman" w:hint="default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Место прохождения практики __</w:t>
      </w:r>
      <w:r>
        <w:rPr>
          <w:rFonts w:ascii="Times New Roman" w:eastAsia="Times New Roman" w:hAnsi="Times New Roman"/>
          <w:sz w:val="28"/>
          <w:szCs w:val="28"/>
          <w:u w:val="single" w:color="auto"/>
          <w:rtl w:val="off"/>
        </w:rPr>
        <w:t>ООО “Витамед” ул.Мичурина 23</w:t>
      </w:r>
    </w:p>
    <w:p>
      <w:pPr>
        <w:pStyle w:val="af3"/>
        <w:jc w:val="center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(медицинская/фармацевтическая организация, отделение)</w:t>
      </w: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both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 «</w:t>
      </w:r>
      <w:r>
        <w:rPr>
          <w:rFonts w:ascii="Times New Roman" w:eastAsia="Times New Roman" w:hAnsi="Times New Roman"/>
          <w:sz w:val="28"/>
          <w:szCs w:val="28"/>
          <w:rtl w:val="off"/>
        </w:rPr>
        <w:t>11</w:t>
      </w:r>
      <w:r>
        <w:rPr>
          <w:rFonts w:ascii="Times New Roman" w:eastAsia="Times New Roman" w:hAnsi="Times New Roman"/>
          <w:sz w:val="28"/>
          <w:szCs w:val="28"/>
        </w:rPr>
        <w:t>» ___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>0</w:t>
      </w:r>
      <w:r>
        <w:rPr>
          <w:rFonts w:ascii="Times New Roman" w:eastAsia="Times New Roman" w:hAnsi="Times New Roman"/>
          <w:sz w:val="28"/>
          <w:szCs w:val="28"/>
          <w:u w:val="single" w:color="auto"/>
          <w:rtl w:val="off"/>
        </w:rPr>
        <w:t>5</w:t>
      </w:r>
      <w:r>
        <w:rPr>
          <w:rFonts w:ascii="Times New Roman" w:eastAsia="Times New Roman" w:hAnsi="Times New Roman"/>
          <w:sz w:val="28"/>
          <w:szCs w:val="28"/>
        </w:rPr>
        <w:t>___ 20</w:t>
      </w:r>
      <w:r>
        <w:rPr>
          <w:rFonts w:ascii="Times New Roman" w:eastAsia="Times New Roman" w:hAnsi="Times New Roman"/>
          <w:sz w:val="28"/>
          <w:szCs w:val="28"/>
          <w:rtl w:val="off"/>
        </w:rPr>
        <w:t>20</w:t>
      </w:r>
      <w:r>
        <w:rPr>
          <w:rFonts w:ascii="Times New Roman" w:eastAsia="Times New Roman" w:hAnsi="Times New Roman"/>
          <w:sz w:val="28"/>
          <w:szCs w:val="28"/>
        </w:rPr>
        <w:t>г.   по   «</w:t>
      </w:r>
      <w:r>
        <w:rPr>
          <w:rFonts w:ascii="Times New Roman" w:eastAsia="Times New Roman" w:hAnsi="Times New Roman"/>
          <w:sz w:val="28"/>
          <w:szCs w:val="28"/>
          <w:rtl w:val="off"/>
        </w:rPr>
        <w:t>2</w:t>
      </w:r>
      <w:r>
        <w:rPr>
          <w:rFonts w:ascii="Times New Roman" w:eastAsia="Times New Roman" w:hAnsi="Times New Roman"/>
          <w:sz w:val="28"/>
          <w:szCs w:val="28"/>
        </w:rPr>
        <w:t>3» ____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>05</w:t>
      </w:r>
      <w:r>
        <w:rPr>
          <w:rFonts w:ascii="Times New Roman" w:eastAsia="Times New Roman" w:hAnsi="Times New Roman"/>
          <w:sz w:val="28"/>
          <w:szCs w:val="28"/>
        </w:rPr>
        <w:t>___20</w:t>
      </w:r>
      <w:r>
        <w:rPr>
          <w:rFonts w:ascii="Times New Roman" w:eastAsia="Times New Roman" w:hAnsi="Times New Roman"/>
          <w:sz w:val="28"/>
          <w:szCs w:val="28"/>
          <w:rtl w:val="off"/>
        </w:rPr>
        <w:t>20</w:t>
      </w:r>
      <w:r>
        <w:rPr>
          <w:rFonts w:ascii="Times New Roman" w:eastAsia="Times New Roman" w:hAnsi="Times New Roman"/>
          <w:sz w:val="28"/>
          <w:szCs w:val="28"/>
        </w:rPr>
        <w:t xml:space="preserve"> г.</w:t>
      </w: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Руководители практики:</w:t>
      </w: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Общий –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>_</w:t>
      </w:r>
      <w:r>
        <w:rPr>
          <w:rFonts w:ascii="Times New Roman" w:eastAsia="Times New Roman" w:hAnsi="Times New Roman"/>
          <w:sz w:val="28"/>
          <w:szCs w:val="28"/>
          <w:u w:val="single" w:color="auto"/>
          <w:rtl w:val="off"/>
        </w:rPr>
        <w:t>Мацеринская Оксана Леонидавна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 xml:space="preserve">  (Зав.аптекой)</w:t>
      </w: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Непосредственный –</w:t>
      </w:r>
      <w:r>
        <w:rPr>
          <w:rFonts w:ascii="Times New Roman" w:eastAsia="Times New Roman" w:hAnsi="Times New Roman"/>
          <w:sz w:val="28"/>
          <w:szCs w:val="28"/>
          <w:u w:val="single" w:color="auto"/>
          <w:rtl w:val="off"/>
        </w:rPr>
        <w:t>Ташлыкова Ольга Семеновна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 xml:space="preserve">  (Фармацевт)</w:t>
      </w: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Методический – </w:t>
      </w:r>
      <w:r>
        <w:rPr>
          <w:rFonts w:ascii="Times New Roman" w:eastAsia="Times New Roman" w:hAnsi="Times New Roman"/>
          <w:sz w:val="28"/>
          <w:szCs w:val="28"/>
          <w:u w:val="single" w:color="auto"/>
          <w:rtl w:val="off"/>
        </w:rPr>
        <w:t>Анисимова Марина Владимировна</w:t>
      </w:r>
      <w:r>
        <w:rPr>
          <w:rFonts w:ascii="Times New Roman" w:eastAsia="Times New Roman" w:hAnsi="Times New Roman"/>
          <w:sz w:val="28"/>
          <w:szCs w:val="28"/>
          <w:u w:val="single" w:color="auto"/>
        </w:rPr>
        <w:t xml:space="preserve"> (Преподаватель)</w:t>
      </w:r>
    </w:p>
    <w:p>
      <w:pPr>
        <w:pStyle w:val="af3"/>
        <w:jc w:val="right"/>
        <w:numPr>
          <w:ilvl w:val="0"/>
          <w:numId w:val="1"/>
        </w:numPr>
        <w:spacing w:after="0"/>
        <w:rPr>
          <w:rFonts w:ascii="Times New Roman" w:eastAsia="Times New Roman" w:hAnsi="Times New Roman"/>
          <w:b/>
          <w:i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</w:p>
    <w:p>
      <w:pPr>
        <w:pStyle w:val="af3"/>
        <w:jc w:val="center"/>
        <w:numPr>
          <w:ilvl w:val="0"/>
          <w:numId w:val="1"/>
        </w:num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Красноярск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2020</w:t>
      </w:r>
    </w:p>
    <w:p>
      <w:pPr>
        <w:jc w:val="both"/>
        <w:tabs>
          <w:tab w:val="right" w:pos="9639" w:leader="underscore"/>
        </w:tabs>
        <w:spacing w:line="100" w:lineRule="atLeas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Объем производственной практики и тематический план</w:t>
      </w:r>
    </w:p>
    <w:tbl>
      <w:tblPr>
        <w:tblW w:w="0" w:type="auto"/>
        <w:tblInd w:w="103" w:type="dxa"/>
        <w:tblLook w:val="0000" w:firstRow="0" w:lastRow="0" w:firstColumn="0" w:lastColumn="0" w:noHBand="0" w:noVBand="0"/>
        <w:tblLayout w:type="fixed"/>
        <w:tblCellMar>
          <w:top w:w="0" w:type="dxa"/>
          <w:left w:w="113" w:type="dxa"/>
          <w:bottom w:w="0" w:type="dxa"/>
          <w:right w:w="0" w:type="dxa"/>
        </w:tblCellMar>
      </w:tblPr>
      <w:tblGrid>
        <w:gridCol w:w="605"/>
        <w:gridCol w:w="2018"/>
        <w:gridCol w:w="4418"/>
        <w:gridCol w:w="1668"/>
      </w:tblGrid>
      <w:tr>
        <w:trPr>
          <w:trHeight w:val="340" w:hRule="atLeast"/>
        </w:trPr>
        <w:tc>
          <w:tcPr>
            <w:tcW w:w="6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43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>
            <w:pPr>
              <w:jc w:val="center"/>
              <w:tabs>
                <w:tab w:val="right" w:pos="9639" w:leader="underscore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6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Всего часов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Лекарственные средства,  влияющие на функции сердечно-сосудистой  системы.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Ингибиторы АПФ. Блокаторы  ангиотензиновых рецепторов.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Нитраты.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Блокаторы кальциевых каналов.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Бета-адреноблокаторы.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Неселективные, бета1,2-адреноблокаторы. Кардиоселективные бета1-адреноблокаторы. Альфа, бета-адреноблокаторы.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Гиполипидемические средства.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Статины. </w:t>
            </w:r>
          </w:p>
          <w:p>
            <w:pPr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ПНЖК (полиненасыщенные жирные кислоты).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Биогенные стимуляторы,  антиоксиданты, улучшающие метаболические процессы при различных сердечно-сосудистых заболеваниях.                    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Мельдоний «Милдронат», «Кардионат»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Триметазидин  «Предуктал» «Предуктал МВ»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Элькарнитин «Элькар»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Этилметилгидроксипиридина сукцинат «Мексиприм», «Мексидол»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Рибоксин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Диуретики в терапии сердечно-сосудистых заболеваний.</w:t>
            </w:r>
          </w:p>
          <w:p>
            <w:pPr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Петлевые (сильные) диуретики. Тиазидные, тиазидоподобные  диуретики. </w:t>
            </w:r>
          </w:p>
          <w:p>
            <w:pPr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Калийсберегающие диуретики.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>
        <w:trPr>
          <w:trHeight w:val="340" w:hRule="atLeast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snapToGrid w:val="0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36</w:t>
            </w:r>
          </w:p>
        </w:tc>
      </w:tr>
      <w:tr>
        <w:trPr>
          <w:trHeight w:val="835" w:hRule="atLeast"/>
        </w:trPr>
        <w:tc>
          <w:tcPr>
            <w:tcW w:w="2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4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>
            <w:pPr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>
            <w:pPr>
              <w:snapToGrid w:val="0"/>
              <w:jc w:val="center"/>
              <w:tabs>
                <w:tab w:val="right" w:pos="9639" w:leader="underscore"/>
              </w:tabs>
              <w:spacing w:line="100" w:lineRule="atLeas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</w:tc>
      </w:tr>
    </w:tbl>
    <w:p>
      <w:pPr>
        <w:widowControl/>
        <w:suppressAutoHyphens w:val="off"/>
        <w:suppressAutoHyphens w:val="off"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rtl w:val="off"/>
        </w:rPr>
      </w:pPr>
    </w:p>
    <w:p>
      <w:pPr>
        <w:widowControl/>
        <w:suppressAutoHyphens w:val="off"/>
        <w:jc w:val="left"/>
        <w:suppressAutoHyphens w:val="off"/>
        <w:spacing w:after="20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rtl w:val="off"/>
        </w:rPr>
        <w:t xml:space="preserve">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>График работы</w:t>
      </w:r>
    </w:p>
    <w:tbl>
      <w:tblPr>
        <w:tblW w:w="9568" w:type="dxa"/>
        <w:tblInd w:w="108" w:type="dxa"/>
        <w:tblLook w:val="0000" w:firstRow="0" w:lastRow="0" w:firstColumn="0" w:lastColumn="0" w:noHBand="0" w:noVBand="0"/>
        <w:tblLayout w:type="fixed"/>
      </w:tblPr>
      <w:tblGrid>
        <w:gridCol w:w="671"/>
        <w:gridCol w:w="1505"/>
        <w:gridCol w:w="1527"/>
        <w:gridCol w:w="3963"/>
        <w:gridCol w:w="1902"/>
      </w:tblGrid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 xml:space="preserve">№ п/п 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Часы работы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Тема практического занятия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rFonts w:ascii="Times New Roman" w:eastAsia="Times New Roman" w:hAnsi="Times New Roman" w:hint="default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Подпись руководителя практики</w:t>
            </w: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 инструктаж. Изучение места хранения лекарственных препаратов.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2.0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влияющие на функцию сердечно-сосудистой  системы.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13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нитраты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4.0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блокаторы кальциевых каналов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5.0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 xml:space="preserve">Проанализирован ассортимент препаратов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бета-адреноблокаторы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rPr>
          <w:trHeight w:val="77" w:hRule="atLeast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6.0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гиполипидемические средства. 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 xml:space="preserve">Проанализирован ассортимент препаратов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статины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9.0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5.20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 xml:space="preserve">Проанализирован ассортимент препаратов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ПНЖК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0.0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5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 xml:space="preserve">Проанализирован ассортимент препаратов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биогенные стимуляторы,  антиоксиданты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.05.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улучшающие метаболические процессы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22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.05.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20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8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.00-1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  <w:rtl w:val="off"/>
              </w:rPr>
              <w:t>4</w:t>
            </w:r>
            <w:r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3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 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иуретики в терапии сердечно-сосудистых заболеваний</w:t>
            </w:r>
          </w:p>
        </w:tc>
        <w:tc>
          <w:tcPr>
            <w:tcW w:w="1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>
            <w:pPr>
              <w:snapToGrid w:val="0"/>
              <w:spacing w:line="100" w:lineRule="atLeast"/>
              <w:rPr>
                <w:lang w:eastAsia="ru-RU"/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>
      <w:pPr>
        <w:jc w:val="center"/>
      </w:pPr>
      <w:r>
        <w:rPr>
          <w:noProof/>
        </w:rPr>
        <w:drawing>
          <wp:inline distT="0" distB="0" distL="0" distR="0">
            <wp:extent cx="4029075" cy="6438900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333875" cy="6438900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981575" cy="6438900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143375" cy="6438900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819775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81977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6438900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543550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54355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238625" cy="6438900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057775" cy="6438900"/>
            <wp:effectExtent l="0" t="0" r="0" b="0"/>
            <wp:docPr id="1033" name="shape103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19600" cy="6438900"/>
            <wp:effectExtent l="0" t="0" r="0" b="0"/>
            <wp:docPr id="1034" name="shape103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010150" cy="6438900"/>
            <wp:effectExtent l="0" t="0" r="0" b="0"/>
            <wp:docPr id="1035" name="shape103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505325" cy="6438900"/>
            <wp:effectExtent l="0" t="0" r="0" b="0"/>
            <wp:docPr id="1036" name="shape103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705475"/>
            <wp:effectExtent l="0" t="0" r="0" b="0"/>
            <wp:docPr id="1037" name="shape103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705475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343400" cy="6438900"/>
            <wp:effectExtent l="0" t="0" r="0" b="0"/>
            <wp:docPr id="1038" name="shape103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162550" cy="6438900"/>
            <wp:effectExtent l="0" t="0" r="0" b="0"/>
            <wp:docPr id="1039" name="shape103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10075" cy="6438900"/>
            <wp:effectExtent l="0" t="0" r="0" b="0"/>
            <wp:docPr id="1040" name="shape104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029200" cy="6438900"/>
            <wp:effectExtent l="0" t="0" r="0" b="0"/>
            <wp:docPr id="1041" name="shape104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648200" cy="6438900"/>
            <wp:effectExtent l="0" t="0" r="0" b="0"/>
            <wp:docPr id="1042" name="shape104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933950" cy="6438900"/>
            <wp:effectExtent l="0" t="0" r="0" b="0"/>
            <wp:docPr id="1043" name="shape104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38650" cy="6438900"/>
            <wp:effectExtent l="0" t="0" r="0" b="0"/>
            <wp:docPr id="1044" name="shape104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048250" cy="6438900"/>
            <wp:effectExtent l="0" t="0" r="0" b="0"/>
            <wp:docPr id="1045" name="shape104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57700" cy="6438900"/>
            <wp:effectExtent l="0" t="0" r="0" b="0"/>
            <wp:docPr id="1046" name="shape104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829175" cy="6438900"/>
            <wp:effectExtent l="0" t="0" r="0" b="0"/>
            <wp:docPr id="1047" name="shape104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86275" cy="6438900"/>
            <wp:effectExtent l="0" t="0" r="0" b="0"/>
            <wp:docPr id="1048" name="shape104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124450" cy="6438900"/>
            <wp:effectExtent l="0" t="0" r="0" b="0"/>
            <wp:docPr id="1049" name="shape104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00550" cy="6438900"/>
            <wp:effectExtent l="0" t="0" r="0" b="0"/>
            <wp:docPr id="1050" name="shape105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010150" cy="6438900"/>
            <wp:effectExtent l="0" t="0" r="0" b="0"/>
            <wp:docPr id="1051" name="shape105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95800" cy="6438900"/>
            <wp:effectExtent l="0" t="0" r="0" b="0"/>
            <wp:docPr id="1052" name="shape105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5229225" cy="6438900"/>
            <wp:effectExtent l="0" t="0" r="0" b="0"/>
            <wp:docPr id="1053" name="shape105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10075" cy="6438900"/>
            <wp:effectExtent l="0" t="0" r="0" b="0"/>
            <wp:docPr id="1054" name="shape105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962650"/>
            <wp:effectExtent l="0" t="0" r="0" b="0"/>
            <wp:docPr id="1055" name="shape105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96265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724400" cy="6438900"/>
            <wp:effectExtent l="0" t="0" r="0" b="0"/>
            <wp:docPr id="1056" name="shape105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962650"/>
            <wp:effectExtent l="0" t="0" r="0" b="0"/>
            <wp:docPr id="1057" name="shape105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96265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476750" cy="6438900"/>
            <wp:effectExtent l="0" t="0" r="0" b="0"/>
            <wp:docPr id="1058" name="shape105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43890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6438900" cy="5695950"/>
            <wp:effectExtent l="0" t="0" r="0" b="0"/>
            <wp:docPr id="1059" name="shape105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695950"/>
                    </a:xfrm>
                    <a:prstGeom prst="rect"/>
                  </pic:spPr>
                </pic:pic>
              </a:graphicData>
            </a:graphic>
          </wp:inline>
        </w:drawing>
      </w:r>
      <w:r>
        <w:br w:type="page"/>
      </w:r>
    </w:p>
    <w:p>
      <w:pPr>
        <w:jc w:val="center"/>
      </w:pPr>
      <w:r>
        <w:rPr>
          <w:noProof/>
        </w:rPr>
        <w:drawing>
          <wp:inline distT="0" distB="0" distL="0" distR="0">
            <wp:extent cx="4829175" cy="6438900"/>
            <wp:effectExtent l="0" t="0" r="0" b="0"/>
            <wp:docPr id="1060" name="shape106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438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br w:type="page"/>
      </w:r>
    </w:p>
    <w:p>
      <w:pPr>
        <w:rPr>
          <w:rFonts w:ascii="Times New Roman" w:eastAsia="Times New Roman" w:hAnsi="Times New Roman" w:hint="default"/>
          <w:b/>
          <w:sz w:val="28"/>
          <w:szCs w:val="28"/>
        </w:rPr>
      </w:pPr>
      <w:r>
        <w:rPr>
          <w:rFonts w:ascii="Times New Roman" w:eastAsia="Times New Roman" w:hAnsi="Times New Roman" w:hint="default"/>
          <w:b/>
          <w:sz w:val="28"/>
          <w:szCs w:val="28"/>
        </w:rPr>
        <w:t>ОТЧЕТ  ПО ПРЕДДИПЛОМНОЙ  ПРАКТИКЕ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 xml:space="preserve">Ф.И.О. обучающегося </w:t>
      </w:r>
      <w:r>
        <w:rPr>
          <w:rFonts w:ascii="Times New Roman" w:eastAsia="Times New Roman" w:hAnsi="Times New Roman" w:hint="default"/>
          <w:sz w:val="28"/>
          <w:szCs w:val="28"/>
          <w:rtl w:val="off"/>
        </w:rPr>
        <w:t xml:space="preserve">Абдилазисова Гулифар Хашимжановна 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 xml:space="preserve">Группа   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3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12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 xml:space="preserve"> </w:t>
      </w:r>
      <w:r>
        <w:rPr>
          <w:rFonts w:ascii="Times New Roman" w:eastAsia="Times New Roman" w:hAnsi="Times New Roman" w:hint="default"/>
          <w:sz w:val="28"/>
          <w:szCs w:val="28"/>
        </w:rPr>
        <w:t xml:space="preserve"> Специальность__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Фармация</w:t>
      </w:r>
      <w:r>
        <w:rPr>
          <w:rFonts w:ascii="Times New Roman" w:eastAsia="Times New Roman" w:hAnsi="Times New Roman" w:hint="default"/>
          <w:sz w:val="28"/>
          <w:szCs w:val="28"/>
        </w:rPr>
        <w:t>__________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 xml:space="preserve">Проходившего преддипломную  практику с 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11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.0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5</w:t>
      </w:r>
      <w:r>
        <w:rPr>
          <w:rFonts w:ascii="Times New Roman" w:eastAsia="Times New Roman" w:hAnsi="Times New Roman" w:hint="default"/>
          <w:sz w:val="28"/>
          <w:szCs w:val="28"/>
        </w:rPr>
        <w:t xml:space="preserve"> по 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2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3.05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.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20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20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г</w:t>
      </w:r>
      <w:r>
        <w:rPr>
          <w:rFonts w:ascii="Times New Roman" w:eastAsia="Times New Roman" w:hAnsi="Times New Roman" w:hint="default"/>
          <w:sz w:val="28"/>
          <w:szCs w:val="28"/>
        </w:rPr>
        <w:t>.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</w:p>
    <w:p>
      <w:pPr>
        <w:pStyle w:val="af3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На базе</w:t>
      </w:r>
      <w:r>
        <w:rPr>
          <w:rFonts w:ascii="Times New Roman" w:eastAsia="Times New Roman" w:hAnsi="Times New Roman" w:hint="default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  <w:rtl w:val="off"/>
        </w:rPr>
        <w:t>ООО “Витамед”ул.Мичурина 23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 xml:space="preserve">Города/района     </w:t>
      </w:r>
      <w:r>
        <w:rPr>
          <w:rFonts w:ascii="Times New Roman" w:eastAsia="Times New Roman" w:hAnsi="Times New Roman" w:hint="default"/>
          <w:sz w:val="28"/>
          <w:szCs w:val="28"/>
          <w:u w:val="single" w:color="auto"/>
        </w:rPr>
        <w:t>Г. Красноярска</w:t>
      </w:r>
      <w:r>
        <w:rPr>
          <w:rFonts w:ascii="Times New Roman" w:eastAsia="Times New Roman" w:hAnsi="Times New Roman" w:hint="default"/>
          <w:sz w:val="28"/>
          <w:szCs w:val="28"/>
        </w:rPr>
        <w:t xml:space="preserve">   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За время прохождения мною выполнены следующие объемы работ: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А.  Цифровой отчет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6095"/>
        <w:gridCol w:w="2657"/>
      </w:tblGrid>
      <w:tr>
        <w:trPr>
          <w:trHeight w:val="35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b/>
                <w:sz w:val="28"/>
                <w:szCs w:val="28"/>
              </w:rPr>
              <w:t>№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b/>
                <w:sz w:val="28"/>
                <w:szCs w:val="28"/>
              </w:rPr>
              <w:t>Виды работ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b/>
                <w:sz w:val="28"/>
                <w:szCs w:val="28"/>
              </w:rPr>
              <w:t>Количество</w:t>
            </w:r>
          </w:p>
        </w:tc>
      </w:tr>
      <w:tr>
        <w:trPr>
          <w:trHeight w:val="46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 w:hint="default"/>
                <w:sz w:val="28"/>
                <w:szCs w:val="28"/>
              </w:rPr>
              <w:t>Проанализирован ассортимент препаратов фармакологических групп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10</w:t>
            </w:r>
          </w:p>
        </w:tc>
      </w:tr>
      <w:tr>
        <w:trPr>
          <w:trHeight w:val="488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Лекарственные средства, влияющие на исполнительные органы.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Лекарственные средства,  влияющие на функции сердечно-сосудистой  системы. </w:t>
            </w:r>
          </w:p>
          <w:p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Ингибиторы АПФ</w:t>
            </w:r>
          </w:p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Блокаторы  ангиотензиновых рецепторов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</w:tr>
      <w:tr>
        <w:trPr>
          <w:trHeight w:val="46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Нитраты. </w:t>
            </w:r>
          </w:p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Блокаторы кальциевых каналов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color w:val="FF0000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</w:tr>
      <w:tr>
        <w:trPr>
          <w:trHeight w:val="46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Бета-адреноблокаторы.</w:t>
            </w:r>
          </w:p>
          <w:p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Неселективные бета1,2-адреноблокаторы Кардиоселективные бета1-адреноблокаторы</w:t>
            </w:r>
          </w:p>
          <w:p>
            <w:pPr>
              <w:rPr>
                <w:lang w:eastAsia="ru-RU"/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Альфа, бета-адреноблокаторы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</w:tr>
      <w:tr>
        <w:trPr>
          <w:trHeight w:val="488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Гиполипидемические средства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Статины</w:t>
            </w:r>
          </w:p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ПНЖК (полиненасыщенные жирные кислоты)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</w:tr>
      <w:tr>
        <w:trPr>
          <w:trHeight w:val="46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Биогенные стимуляторы,  антиоксиданты, улучшающие метаболические процессы при различных сердечно-сосудистых заболеваниях.                     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Мельдоний «Милдронат», «Кардионат»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Триметазидин  «Предуктал» «Предуктал МВ»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Элькарнитин «Элькар»</w:t>
            </w:r>
          </w:p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Этилметилгидроксипиридина сукцинат «Мексиприм», «Мексидол»</w:t>
            </w:r>
          </w:p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Рибоксин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5</w:t>
            </w:r>
          </w:p>
        </w:tc>
      </w:tr>
      <w:tr>
        <w:trPr>
          <w:trHeight w:val="466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>
            <w:pP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>
            <w:pPr>
              <w:shd w:val="clear" w:color="auto" w:fill="FFFFFF"/>
              <w:spacing w:line="10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Диуретики в терапии сердечно-сосудистых заболеваний.</w:t>
            </w:r>
          </w:p>
          <w:p>
            <w:pPr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Петлевые (сильные) диуретики</w:t>
            </w:r>
          </w:p>
          <w:p>
            <w:pPr>
              <w:spacing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Тиазидные, тиазидоподобные  диуретики </w:t>
            </w:r>
          </w:p>
          <w:p>
            <w:pPr>
              <w:rPr>
                <w:lang w:eastAsia="ru-RU"/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Калийсберегающие диуретики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jc w:val="center"/>
              <w:tabs>
                <w:tab w:val="left" w:pos="708"/>
              </w:tabs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lang w:eastAsia="ru-RU"/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</w:tr>
    </w:tbl>
    <w:p>
      <w:pPr>
        <w:rPr>
          <w:rFonts w:ascii="Times New Roman" w:eastAsia="Times New Roman" w:hAnsi="Times New Roman" w:hint="default"/>
          <w:i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Б. Текстовой отчет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- закреплены знания: изучение методов управления и основные методы мотивации персонала, закреплены и углублены теоретические знания по группам лекарственных средств;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- отработаны  практические умения: организовывать хранение лекарственных средств, их учет, прием лекарственных  средств и товара аптечного ассортимента. Организовывать работу по соблюдению санитарного режима, охране труда, технике безопасности;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- выполнена самостоятельная работа: организация хранения товаров аптечного ассортимента, анализ лекарственных  средств.</w:t>
      </w:r>
    </w:p>
    <w:p>
      <w:pPr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 w:hint="default"/>
          <w:sz w:val="28"/>
          <w:szCs w:val="28"/>
        </w:rPr>
        <w:t>За время прохождения практики моя работа состояла в приемочном контроле ЛС, размещению их по местам хранения и отпуск медицинских изделий и медицинской техники, а в этом мне помогали сотрудники аптека.</w:t>
      </w:r>
    </w:p>
    <w:p>
      <w:pPr>
        <w:jc w:val="both"/>
        <w:rPr>
          <w:rFonts w:ascii="Times New Roman" w:eastAsia="Times New Roman" w:hAnsi="Times New Roman" w:hint="default"/>
          <w:i/>
          <w:sz w:val="28"/>
          <w:szCs w:val="28"/>
        </w:rPr>
      </w:pPr>
    </w:p>
    <w:p>
      <w:pPr>
        <w:pStyle w:val="a5"/>
        <w:ind w:left="431" w:hanging="431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Студент ___________        </w:t>
      </w:r>
      <w:r>
        <w:rPr>
          <w:rFonts w:ascii="Times New Roman" w:eastAsia="Times New Roman" w:hAnsi="Times New Roman"/>
          <w:color w:val="000000"/>
          <w:sz w:val="28"/>
          <w:szCs w:val="28"/>
          <w:u w:val="single" w:color="auto"/>
          <w:rtl w:val="off"/>
        </w:rPr>
        <w:t>Абдилазисова  Г.Х.</w:t>
      </w:r>
    </w:p>
    <w:p>
      <w:pPr>
        <w:pStyle w:val="a5"/>
        <w:ind w:left="431" w:hanging="431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        (подпись)               </w:t>
      </w:r>
      <w:r>
        <w:rPr>
          <w:rFonts w:ascii="Times New Roman" w:eastAsia="Times New Roman" w:hAnsi="Times New Roman"/>
          <w:color w:val="000000"/>
          <w:sz w:val="28"/>
          <w:szCs w:val="28"/>
          <w:rtl w:val="off"/>
        </w:rPr>
        <w:t xml:space="preserve">       </w:t>
      </w:r>
      <w:r>
        <w:rPr>
          <w:rFonts w:ascii="Times New Roman" w:eastAsia="Times New Roman" w:hAnsi="Times New Roman"/>
          <w:color w:val="000000"/>
          <w:sz w:val="28"/>
          <w:szCs w:val="28"/>
        </w:rPr>
        <w:t>(ФИО)</w:t>
      </w:r>
    </w:p>
    <w:p>
      <w:pPr>
        <w:pStyle w:val="a5"/>
        <w:ind w:left="431" w:hanging="431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</w:p>
    <w:p>
      <w:pPr>
        <w:pStyle w:val="a5"/>
        <w:ind w:left="431" w:hanging="431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Общий/непосредственный руководитель практики _______   </w:t>
      </w:r>
      <w:r>
        <w:rPr>
          <w:rFonts w:ascii="Times New Roman" w:eastAsia="Times New Roman" w:hAnsi="Times New Roman"/>
          <w:color w:val="000000"/>
          <w:sz w:val="28"/>
          <w:szCs w:val="28"/>
          <w:u w:val="single" w:color="auto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u w:val="single" w:color="auto"/>
          <w:rtl w:val="off"/>
        </w:rPr>
        <w:t>Мацеринская О.Л.</w:t>
      </w:r>
    </w:p>
    <w:p>
      <w:pPr>
        <w:pStyle w:val="a5"/>
        <w:ind w:left="431" w:hanging="431"/>
        <w:jc w:val="center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hint="default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                                                             (подпись)               (ФИО)</w:t>
      </w:r>
    </w:p>
    <w:p>
      <w:pPr>
        <w:pStyle w:val="a6"/>
        <w:numPr>
          <w:ilvl w:val="0"/>
          <w:numId w:val="3"/>
        </w:numPr>
      </w:pPr>
      <w:r>
        <w:rPr>
          <w:rFonts w:ascii="Times New Roman" w:eastAsia="Times New Roman" w:hAnsi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/>
          <w:color w:val="00000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u w:val="single" w:color="auto"/>
          <w:rtl w:val="off"/>
        </w:rPr>
        <w:t>23</w:t>
      </w:r>
      <w:r>
        <w:rPr>
          <w:rFonts w:ascii="Times New Roman" w:eastAsia="Times New Roman" w:hAnsi="Times New Roman"/>
          <w:color w:val="000000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/>
          <w:color w:val="000000"/>
          <w:sz w:val="28"/>
          <w:szCs w:val="28"/>
          <w:u w:val="single" w:color="auto"/>
          <w:rtl w:val="off"/>
        </w:rPr>
        <w:t>05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20</w:t>
      </w:r>
      <w:r>
        <w:rPr>
          <w:rFonts w:ascii="Times New Roman" w:eastAsia="Times New Roman" w:hAnsi="Times New Roman"/>
          <w:color w:val="000000"/>
          <w:sz w:val="28"/>
          <w:szCs w:val="28"/>
          <w:rtl w:val="off"/>
        </w:rPr>
        <w:t>20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г.</w:t>
      </w:r>
      <w:r>
        <w:rPr>
          <w:rFonts w:ascii="Times New Roman" w:eastAsia="Times New Roman" w:hAnsi="Times New Roman"/>
          <w:color w:val="000000"/>
          <w:sz w:val="28"/>
          <w:szCs w:val="28"/>
          <w:rtl w:val="off"/>
        </w:rPr>
        <w:t xml:space="preserve">            </w:t>
      </w:r>
      <w:r>
        <w:rPr>
          <w:rFonts w:ascii="Times New Roman" w:eastAsia="Times New Roman" w:hAnsi="Times New Roman"/>
          <w:color w:val="000000"/>
          <w:sz w:val="28"/>
          <w:szCs w:val="28"/>
        </w:rPr>
        <w:t>м.п.</w:t>
      </w:r>
    </w:p>
    <w:sectPr>
      <w:pgSz w:w="11900" w:h="16840"/>
      <w:pgMar w:top="880" w:right="880" w:bottom="880" w:left="8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00"/>
    <w:notTrueType w:val="true"/>
    <w:sig w:usb0="E0002EFF" w:usb1="C000785B" w:usb2="00000009" w:usb3="00000001" w:csb0="400001FF" w:csb1="FFFF0000"/>
  </w:font>
  <w:font w:name="Calibri">
    <w:panose1 w:val="020F0502020204030204"/>
    <w:family w:val="swiss"/>
    <w:charset w:val="00"/>
    <w:notTrueType w:val="true"/>
    <w:sig w:usb0="E4002EFF" w:usb1="C000247B" w:usb2="00000009" w:usb3="00000001" w:csb0="200001FF" w:csb1="00000001"/>
  </w:font>
  <w:font w:name="SimSun">
    <w:panose1 w:val="02010600030101010101"/>
    <w:notTrueType w:val="true"/>
    <w:sig w:usb0="00000003" w:usb1="288F0000" w:usb2="00000006" w:usb3="00000001" w:csb0="00040001" w:csb1="00000001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14="http://schemas.microsoft.com/office/word/2010/wordml" xmlns:wne="http://schemas.microsoft.com/office/word/2006/wordml">
  <w:abstractNum w:abstractNumId="0">
    <w:nsid w:val="6e2b2b95"/>
    <w:multiLevelType w:val="multilevel"/>
    <w:tmpl w:val="7e5c0d34"/>
    <w:lvl w:ilvl="0">
      <w:start w:val="1"/>
      <w:numFmt w:val="none"/>
      <w:lvlJc w:val="left"/>
      <w:suff w:val="nothing"/>
      <w:pPr>
        <w:ind w:left="432" w:hanging="432"/>
        <w:tabs>
          <w:tab w:val="num" w:pos="432"/>
        </w:tabs>
      </w:pPr>
    </w:lvl>
    <w:lvl w:ilvl="1">
      <w:start w:val="1"/>
      <w:numFmt w:val="none"/>
      <w:lvlJc w:val="left"/>
      <w:suff w:val="nothing"/>
      <w:pPr>
        <w:ind w:left="576" w:hanging="576"/>
        <w:tabs>
          <w:tab w:val="num" w:pos="576"/>
        </w:tabs>
      </w:pPr>
    </w:lvl>
    <w:lvl w:ilvl="2">
      <w:start w:val="1"/>
      <w:numFmt w:val="none"/>
      <w:lvlJc w:val="left"/>
      <w:suff w:val="nothing"/>
      <w:pPr>
        <w:ind w:left="720" w:hanging="720"/>
        <w:tabs>
          <w:tab w:val="num" w:pos="720"/>
        </w:tabs>
      </w:pPr>
    </w:lvl>
    <w:lvl w:ilvl="3">
      <w:start w:val="1"/>
      <w:numFmt w:val="none"/>
      <w:lvlJc w:val="left"/>
      <w:suff w:val="nothing"/>
      <w:pPr>
        <w:ind w:left="864" w:hanging="864"/>
        <w:tabs>
          <w:tab w:val="num" w:pos="864"/>
        </w:tabs>
      </w:pPr>
    </w:lvl>
    <w:lvl w:ilvl="4">
      <w:start w:val="1"/>
      <w:numFmt w:val="none"/>
      <w:lvlJc w:val="left"/>
      <w:suff w:val="nothing"/>
      <w:pPr>
        <w:ind w:left="1008" w:hanging="1008"/>
        <w:tabs>
          <w:tab w:val="num" w:pos="1008"/>
        </w:tabs>
      </w:pPr>
    </w:lvl>
    <w:lvl w:ilvl="5">
      <w:start w:val="1"/>
      <w:numFmt w:val="none"/>
      <w:lvlJc w:val="left"/>
      <w:suff w:val="nothing"/>
      <w:pPr>
        <w:ind w:left="1152" w:hanging="1152"/>
        <w:tabs>
          <w:tab w:val="num" w:pos="1152"/>
        </w:tabs>
      </w:pPr>
    </w:lvl>
    <w:lvl w:ilvl="6">
      <w:start w:val="1"/>
      <w:numFmt w:val="none"/>
      <w:lvlJc w:val="left"/>
      <w:suff w:val="nothing"/>
      <w:pPr>
        <w:ind w:left="1296" w:hanging="1296"/>
        <w:tabs>
          <w:tab w:val="num" w:pos="1296"/>
        </w:tabs>
      </w:pPr>
    </w:lvl>
    <w:lvl w:ilvl="7">
      <w:start w:val="1"/>
      <w:numFmt w:val="none"/>
      <w:lvlJc w:val="left"/>
      <w:suff w:val="nothing"/>
      <w:pPr>
        <w:ind w:left="1440" w:hanging="1440"/>
        <w:tabs>
          <w:tab w:val="num" w:pos="1440"/>
        </w:tabs>
      </w:pPr>
    </w:lvl>
    <w:lvl w:ilvl="8">
      <w:start w:val="1"/>
      <w:numFmt w:val="none"/>
      <w:lvlJc w:val="left"/>
      <w:suff w:val="nothing"/>
      <w:pPr>
        <w:ind w:left="1584" w:hanging="1584"/>
        <w:tabs>
          <w:tab w:val="num" w:pos="1584"/>
        </w:tabs>
      </w:pPr>
    </w:lvl>
  </w:abstractNum>
  <w:abstractNum w:abstractNumId="1">
    <w:nsid w:val="6e2b2b95"/>
    <w:multiLevelType w:val="multilevel"/>
    <w:tmpl w:val="7e5c0d34"/>
    <w:lvl w:ilvl="0">
      <w:start w:val="1"/>
      <w:numFmt w:val="none"/>
      <w:lvlJc w:val="left"/>
      <w:suff w:val="nothing"/>
      <w:pPr>
        <w:ind w:left="432" w:hanging="432"/>
        <w:tabs>
          <w:tab w:val="num" w:pos="432"/>
        </w:tabs>
      </w:pPr>
    </w:lvl>
    <w:lvl w:ilvl="1">
      <w:start w:val="1"/>
      <w:numFmt w:val="none"/>
      <w:lvlJc w:val="left"/>
      <w:suff w:val="nothing"/>
      <w:pPr>
        <w:ind w:left="576" w:hanging="576"/>
        <w:tabs>
          <w:tab w:val="num" w:pos="576"/>
        </w:tabs>
      </w:pPr>
    </w:lvl>
    <w:lvl w:ilvl="2">
      <w:start w:val="1"/>
      <w:numFmt w:val="none"/>
      <w:lvlJc w:val="left"/>
      <w:suff w:val="nothing"/>
      <w:pPr>
        <w:ind w:left="720" w:hanging="720"/>
        <w:tabs>
          <w:tab w:val="num" w:pos="720"/>
        </w:tabs>
      </w:pPr>
    </w:lvl>
    <w:lvl w:ilvl="3">
      <w:start w:val="1"/>
      <w:numFmt w:val="none"/>
      <w:lvlJc w:val="left"/>
      <w:suff w:val="nothing"/>
      <w:pPr>
        <w:ind w:left="864" w:hanging="864"/>
        <w:tabs>
          <w:tab w:val="num" w:pos="864"/>
        </w:tabs>
      </w:pPr>
    </w:lvl>
    <w:lvl w:ilvl="4">
      <w:start w:val="1"/>
      <w:numFmt w:val="none"/>
      <w:lvlJc w:val="left"/>
      <w:suff w:val="nothing"/>
      <w:pPr>
        <w:ind w:left="1008" w:hanging="1008"/>
        <w:tabs>
          <w:tab w:val="num" w:pos="1008"/>
        </w:tabs>
      </w:pPr>
    </w:lvl>
    <w:lvl w:ilvl="5">
      <w:start w:val="1"/>
      <w:numFmt w:val="none"/>
      <w:lvlJc w:val="left"/>
      <w:suff w:val="nothing"/>
      <w:pPr>
        <w:ind w:left="1152" w:hanging="1152"/>
        <w:tabs>
          <w:tab w:val="num" w:pos="1152"/>
        </w:tabs>
      </w:pPr>
    </w:lvl>
    <w:lvl w:ilvl="6">
      <w:start w:val="1"/>
      <w:numFmt w:val="none"/>
      <w:lvlJc w:val="left"/>
      <w:suff w:val="nothing"/>
      <w:pPr>
        <w:ind w:left="1296" w:hanging="1296"/>
        <w:tabs>
          <w:tab w:val="num" w:pos="1296"/>
        </w:tabs>
      </w:pPr>
    </w:lvl>
    <w:lvl w:ilvl="7">
      <w:start w:val="1"/>
      <w:numFmt w:val="none"/>
      <w:lvlJc w:val="left"/>
      <w:suff w:val="nothing"/>
      <w:pPr>
        <w:ind w:left="1440" w:hanging="1440"/>
        <w:tabs>
          <w:tab w:val="num" w:pos="1440"/>
        </w:tabs>
      </w:pPr>
    </w:lvl>
    <w:lvl w:ilvl="8">
      <w:start w:val="1"/>
      <w:numFmt w:val="none"/>
      <w:lvlJc w:val="left"/>
      <w:suff w:val="nothing"/>
      <w:pPr>
        <w:ind w:left="1584" w:hanging="1584"/>
        <w:tabs>
          <w:tab w:val="num" w:pos="1584"/>
        </w:tabs>
      </w:pPr>
    </w:lvl>
  </w:abstractNum>
  <w:abstractNum w:abstractNumId="2">
    <w:nsid w:val="6e2b2b95"/>
    <w:multiLevelType w:val="multilevel"/>
    <w:tmpl w:val="7e5c0d34"/>
    <w:lvl w:ilvl="0">
      <w:start w:val="1"/>
      <w:numFmt w:val="none"/>
      <w:lvlJc w:val="left"/>
      <w:suff w:val="nothing"/>
      <w:pPr>
        <w:ind w:left="432" w:hanging="432"/>
        <w:tabs>
          <w:tab w:val="num" w:pos="432"/>
        </w:tabs>
      </w:pPr>
    </w:lvl>
    <w:lvl w:ilvl="1">
      <w:start w:val="1"/>
      <w:numFmt w:val="none"/>
      <w:lvlJc w:val="left"/>
      <w:suff w:val="nothing"/>
      <w:pPr>
        <w:ind w:left="576" w:hanging="576"/>
        <w:tabs>
          <w:tab w:val="num" w:pos="576"/>
        </w:tabs>
      </w:pPr>
    </w:lvl>
    <w:lvl w:ilvl="2">
      <w:start w:val="1"/>
      <w:numFmt w:val="none"/>
      <w:lvlJc w:val="left"/>
      <w:suff w:val="nothing"/>
      <w:pPr>
        <w:ind w:left="720" w:hanging="720"/>
        <w:tabs>
          <w:tab w:val="num" w:pos="720"/>
        </w:tabs>
      </w:pPr>
    </w:lvl>
    <w:lvl w:ilvl="3">
      <w:start w:val="1"/>
      <w:numFmt w:val="none"/>
      <w:lvlJc w:val="left"/>
      <w:suff w:val="nothing"/>
      <w:pPr>
        <w:ind w:left="864" w:hanging="864"/>
        <w:tabs>
          <w:tab w:val="num" w:pos="864"/>
        </w:tabs>
      </w:pPr>
    </w:lvl>
    <w:lvl w:ilvl="4">
      <w:start w:val="1"/>
      <w:numFmt w:val="none"/>
      <w:lvlJc w:val="left"/>
      <w:suff w:val="nothing"/>
      <w:pPr>
        <w:ind w:left="1008" w:hanging="1008"/>
        <w:tabs>
          <w:tab w:val="num" w:pos="1008"/>
        </w:tabs>
      </w:pPr>
    </w:lvl>
    <w:lvl w:ilvl="5">
      <w:start w:val="1"/>
      <w:numFmt w:val="none"/>
      <w:lvlJc w:val="left"/>
      <w:suff w:val="nothing"/>
      <w:pPr>
        <w:ind w:left="1152" w:hanging="1152"/>
        <w:tabs>
          <w:tab w:val="num" w:pos="1152"/>
        </w:tabs>
      </w:pPr>
    </w:lvl>
    <w:lvl w:ilvl="6">
      <w:start w:val="1"/>
      <w:numFmt w:val="none"/>
      <w:lvlJc w:val="left"/>
      <w:suff w:val="nothing"/>
      <w:pPr>
        <w:ind w:left="1296" w:hanging="1296"/>
        <w:tabs>
          <w:tab w:val="num" w:pos="1296"/>
        </w:tabs>
      </w:pPr>
    </w:lvl>
    <w:lvl w:ilvl="7">
      <w:start w:val="1"/>
      <w:numFmt w:val="none"/>
      <w:lvlJc w:val="left"/>
      <w:suff w:val="nothing"/>
      <w:pPr>
        <w:ind w:left="1440" w:hanging="1440"/>
        <w:tabs>
          <w:tab w:val="num" w:pos="1440"/>
        </w:tabs>
      </w:pPr>
    </w:lvl>
    <w:lvl w:ilvl="8">
      <w:start w:val="1"/>
      <w:numFmt w:val="none"/>
      <w:lvlJc w:val="left"/>
      <w:suff w:val="nothing"/>
      <w:pPr>
        <w:ind w:left="1584" w:hanging="1584"/>
        <w:tabs>
          <w:tab w:val="num" w:pos="1584"/>
        </w:tabs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27"/>
  <w:removePersonalInformation/>
  <w:bordersDontSurroundHeader/>
  <w:bordersDontSurroundFooter/>
  <w:hideGrammaticalErrors/>
  <w:proofState w:spelling="clean" w:grammar="clean"/>
  <w:defaultTabStop w:val="708"/>
  <w:drawingGridHorizontalSpacing w:val="1000"/>
  <w:drawingGridVerticalSpacing w:val="1000"/>
  <w:displayHorizontalDrawingGridEvery w:val="1"/>
  <w:displayVerticalDrawingGridEvery w:val="1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ru-RU" w:bidi="ar-SA"/>
        <w:rFonts w:asciiTheme="minorHAnsi" w:eastAsiaTheme="minorEastAsia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character" w:customStyle="1" w:styleId="22">
    <w:name w:val="Заголовок 2 Знак"/>
    <w:basedOn w:val="a2"/>
    <w:link w:val="heading 2"/>
    <w:rPr>
      <w:rFonts w:asciiTheme="majorHAnsi" w:eastAsiaTheme="majorEastAsia" w:hAnsiTheme="majorHAnsi" w:cstheme="majorBidi"/>
      <w:color w:val="2E74B5"/>
      <w:sz w:val="26"/>
      <w:szCs w:val="26"/>
    </w:rPr>
  </w:style>
  <w:style w:type="character" w:customStyle="1" w:styleId="aff9">
    <w:name w:val="Основной текст с отступом Знак"/>
    <w:basedOn w:val="a2"/>
    <w:link w:val="Body Text Indent"/>
  </w:style>
  <w:style w:type="paragraph" w:styleId="21">
    <w:name w:val="heading 2"/>
    <w:basedOn w:val="a1"/>
    <w:next w:val="a1"/>
    <w:link w:val="Заголовок 2 Знак"/>
    <w:qFormat/>
    <w:pPr>
      <w:keepNext/>
      <w:keepLines/>
      <w:outlineLvl w:val="1"/>
      <w:spacing w:after="0" w:before="40"/>
    </w:pPr>
    <w:rPr>
      <w:rFonts w:asciiTheme="majorHAnsi" w:eastAsiaTheme="majorEastAsia" w:hAnsiTheme="majorHAnsi" w:cstheme="majorBidi"/>
      <w:color w:val="2E74B5"/>
      <w:sz w:val="26"/>
      <w:szCs w:val="26"/>
    </w:rPr>
  </w:style>
  <w:style w:type="paragraph" w:styleId="a5">
    <w:name w:val="No Spacing"/>
    <w:qFormat/>
    <w:pPr>
      <w:spacing w:after="0" w:line="240" w:lineRule="auto"/>
    </w:pPr>
  </w:style>
  <w:style w:type="paragraph" w:styleId="af3">
    <w:name w:val="List Paragraph"/>
    <w:basedOn w:val="a1"/>
    <w:qFormat/>
    <w:pPr>
      <w:ind w:left="720"/>
      <w:contextualSpacing/>
    </w:pPr>
  </w:style>
  <w:style w:type="paragraph" w:styleId="aff8">
    <w:name w:val="Body Text Indent"/>
    <w:basedOn w:val="a1"/>
    <w:link w:val="Основной текст с отступом Знак"/>
    <w:pPr>
      <w:ind w:left="283"/>
      <w:spacing w:after="120"/>
    </w:pPr>
  </w:style>
  <w:style w:type="paragraph" w:customStyle="1" w:styleId="a6">
    <w:name w:val="Базовый"/>
    <w:pPr>
      <w:suppressAutoHyphens/>
      <w:suppressAutoHyphens/>
      <w:tabs>
        <w:tab w:val="left" w:pos="708"/>
      </w:tabs>
    </w:pPr>
    <w:rPr>
      <w:rFonts w:ascii="Calibri" w:eastAsia="SimSun" w:hAnsi="Calibri" w:cs="Times New Roman"/>
      <w:color w:val="00000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styles" Target="styles.xml" /><Relationship Id="rId38" Type="http://schemas.openxmlformats.org/officeDocument/2006/relationships/settings" Target="settings.xml" /><Relationship Id="rId39" Type="http://schemas.openxmlformats.org/officeDocument/2006/relationships/fontTable" Target="fontTable.xml" /><Relationship Id="rId40" Type="http://schemas.openxmlformats.org/officeDocument/2006/relationships/webSettings" Target="webSettings.xml" /><Relationship Id="rId41" Type="http://schemas.openxmlformats.org/officeDocument/2006/relationships/numbering" Target="numbering.xml" /><Relationship Id="rId4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lastClr="000000" val="windowText"/>
      </a:dk1>
      <a:lt1>
        <a:sysClr lastClr="FFFFFF" val="window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Apache POI</dc:creator>
  <cp:keywords/>
  <dc:description/>
  <cp:lastModifiedBy>Acer</cp:lastModifiedBy>
  <cp:revision>1</cp:revision>
  <dcterms:created xsi:type="dcterms:W3CDTF">2020-05-22T06:46:00Z</dcterms:created>
  <dcterms:modified xsi:type="dcterms:W3CDTF">2020-05-22T07:24:00Z</dcterms:modified>
  <cp:version>0900.0000.01</cp:version>
</cp:coreProperties>
</file>