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BE" w:rsidRDefault="002023BE" w:rsidP="002023B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>» Министерства здравоохранения Российской Федерации</w:t>
      </w:r>
    </w:p>
    <w:p w:rsidR="002023BE" w:rsidRDefault="002023BE" w:rsidP="002023BE">
      <w:pPr>
        <w:pStyle w:val="a8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ФГБОУ ВПО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им. проф.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 Минздрава </w:t>
      </w:r>
      <w:r>
        <w:rPr>
          <w:color w:val="000000"/>
          <w:sz w:val="28"/>
          <w:szCs w:val="28"/>
        </w:rPr>
        <w:t>России</w:t>
      </w:r>
    </w:p>
    <w:p w:rsidR="002023BE" w:rsidRDefault="002023BE" w:rsidP="002023B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урологии, андрологии и сексологии с курсом </w:t>
      </w:r>
      <w:proofErr w:type="gramStart"/>
      <w:r>
        <w:rPr>
          <w:sz w:val="28"/>
          <w:szCs w:val="28"/>
        </w:rPr>
        <w:t>ПО</w:t>
      </w:r>
      <w:proofErr w:type="gramEnd"/>
    </w:p>
    <w:p w:rsidR="002023BE" w:rsidRDefault="002023BE" w:rsidP="002023BE">
      <w:pPr>
        <w:pStyle w:val="aa"/>
        <w:spacing w:line="360" w:lineRule="auto"/>
        <w:rPr>
          <w:lang w:val="ru-RU"/>
        </w:rPr>
      </w:pPr>
    </w:p>
    <w:p w:rsidR="002023BE" w:rsidRDefault="002023BE" w:rsidP="002023BE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</w:p>
    <w:p w:rsidR="002023BE" w:rsidRDefault="002023BE" w:rsidP="002023BE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Зав. кафедрой:  д.м.н., доцент: </w:t>
      </w:r>
      <w:proofErr w:type="spellStart"/>
      <w:r>
        <w:rPr>
          <w:rFonts w:cs="Times New Roman"/>
          <w:sz w:val="28"/>
          <w:szCs w:val="28"/>
        </w:rPr>
        <w:t>Капсаргин</w:t>
      </w:r>
      <w:proofErr w:type="spellEnd"/>
      <w:r>
        <w:rPr>
          <w:rFonts w:cs="Times New Roman"/>
          <w:sz w:val="28"/>
          <w:szCs w:val="28"/>
        </w:rPr>
        <w:t xml:space="preserve"> Ф.П.</w:t>
      </w:r>
    </w:p>
    <w:p w:rsidR="002023BE" w:rsidRDefault="002023BE" w:rsidP="002023BE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</w:p>
    <w:p w:rsidR="002023BE" w:rsidRDefault="002023BE" w:rsidP="002023BE">
      <w:pPr>
        <w:pStyle w:val="1"/>
        <w:spacing w:line="360" w:lineRule="auto"/>
        <w:ind w:firstLine="720"/>
        <w:rPr>
          <w:rFonts w:cs="Times New Roman"/>
          <w:sz w:val="28"/>
          <w:szCs w:val="28"/>
        </w:rPr>
      </w:pPr>
    </w:p>
    <w:p w:rsidR="002023BE" w:rsidRDefault="002023BE" w:rsidP="002023BE">
      <w:pPr>
        <w:pStyle w:val="1"/>
        <w:spacing w:line="360" w:lineRule="auto"/>
        <w:ind w:firstLine="720"/>
        <w:rPr>
          <w:rFonts w:cs="Times New Roman"/>
          <w:sz w:val="28"/>
          <w:szCs w:val="28"/>
        </w:rPr>
      </w:pPr>
    </w:p>
    <w:p w:rsidR="002023BE" w:rsidRDefault="002023BE" w:rsidP="002023BE">
      <w:pPr>
        <w:pStyle w:val="1"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РЕФЕРАТ</w:t>
      </w:r>
    </w:p>
    <w:p w:rsidR="002023BE" w:rsidRPr="00E832B6" w:rsidRDefault="002023BE" w:rsidP="002023BE">
      <w:pPr>
        <w:pStyle w:val="1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Тема: </w:t>
      </w:r>
      <w:proofErr w:type="spellStart"/>
      <w:r>
        <w:rPr>
          <w:rFonts w:cs="Times New Roman"/>
          <w:sz w:val="28"/>
          <w:szCs w:val="28"/>
        </w:rPr>
        <w:t>Нефротуберкулез</w:t>
      </w:r>
      <w:proofErr w:type="spellEnd"/>
    </w:p>
    <w:p w:rsidR="002023BE" w:rsidRDefault="002023BE" w:rsidP="002023BE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2023BE" w:rsidRDefault="002023BE" w:rsidP="002023BE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2023BE" w:rsidRDefault="002023BE" w:rsidP="002023BE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2023BE" w:rsidRDefault="002023BE" w:rsidP="002023BE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2023BE" w:rsidRDefault="002023BE" w:rsidP="002023BE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2023BE" w:rsidRDefault="002023BE" w:rsidP="002023BE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2023BE" w:rsidRDefault="002023BE" w:rsidP="002023BE">
      <w:pPr>
        <w:pStyle w:val="1"/>
        <w:spacing w:line="360" w:lineRule="auto"/>
        <w:jc w:val="center"/>
        <w:rPr>
          <w:rFonts w:cs="Times New Roman"/>
          <w:sz w:val="28"/>
          <w:szCs w:val="28"/>
        </w:rPr>
      </w:pPr>
    </w:p>
    <w:p w:rsidR="002023BE" w:rsidRDefault="002023BE" w:rsidP="002023BE">
      <w:pPr>
        <w:pStyle w:val="1"/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Мамонтов Артём Олегович</w:t>
      </w:r>
    </w:p>
    <w:p w:rsidR="002023BE" w:rsidRDefault="002023BE" w:rsidP="002023BE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Клинический ординатор  </w:t>
      </w:r>
    </w:p>
    <w:p w:rsidR="002023BE" w:rsidRDefault="002023BE" w:rsidP="002023BE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2023BE" w:rsidRDefault="002023BE" w:rsidP="002023BE">
      <w:pPr>
        <w:pStyle w:val="1"/>
        <w:spacing w:line="360" w:lineRule="auto"/>
        <w:jc w:val="center"/>
        <w:rPr>
          <w:rFonts w:cs="Times New Roman"/>
          <w:sz w:val="28"/>
          <w:szCs w:val="28"/>
        </w:rPr>
      </w:pPr>
    </w:p>
    <w:p w:rsidR="002023BE" w:rsidRDefault="002023BE" w:rsidP="002023BE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2023BE" w:rsidRDefault="002023BE" w:rsidP="002023BE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2023BE" w:rsidRDefault="002023BE" w:rsidP="002023BE">
      <w:pPr>
        <w:pStyle w:val="a6"/>
        <w:tabs>
          <w:tab w:val="left" w:pos="284"/>
        </w:tabs>
        <w:spacing w:line="360" w:lineRule="auto"/>
        <w:jc w:val="center"/>
        <w:rPr>
          <w:rFonts w:cs="Times New Roman"/>
          <w:sz w:val="28"/>
          <w:szCs w:val="28"/>
        </w:rPr>
      </w:pPr>
    </w:p>
    <w:p w:rsidR="002023BE" w:rsidRDefault="002023BE" w:rsidP="002023BE">
      <w:pPr>
        <w:pStyle w:val="a6"/>
        <w:tabs>
          <w:tab w:val="left" w:pos="284"/>
        </w:tabs>
        <w:spacing w:line="360" w:lineRule="auto"/>
        <w:rPr>
          <w:rFonts w:cs="Times New Roman"/>
          <w:sz w:val="28"/>
          <w:szCs w:val="28"/>
        </w:rPr>
      </w:pPr>
    </w:p>
    <w:p w:rsidR="002023BE" w:rsidRDefault="002023BE" w:rsidP="002023BE">
      <w:pPr>
        <w:pStyle w:val="a6"/>
        <w:tabs>
          <w:tab w:val="left" w:pos="284"/>
        </w:tabs>
        <w:spacing w:line="360" w:lineRule="auto"/>
        <w:jc w:val="center"/>
      </w:pPr>
      <w:r>
        <w:rPr>
          <w:rFonts w:cs="Times New Roman"/>
          <w:sz w:val="28"/>
          <w:szCs w:val="28"/>
        </w:rPr>
        <w:t>Красноярск, 2020</w:t>
      </w:r>
      <w:bookmarkStart w:id="0" w:name="_GoBack"/>
      <w:bookmarkEnd w:id="0"/>
    </w:p>
    <w:p w:rsidR="002023BE" w:rsidRDefault="002023BE" w:rsidP="002023BE"/>
    <w:p w:rsidR="002023BE" w:rsidRDefault="002023BE" w:rsidP="002023BE"/>
    <w:p w:rsidR="002023BE" w:rsidRPr="00123CE5" w:rsidRDefault="002023BE" w:rsidP="002023BE">
      <w:pPr>
        <w:rPr>
          <w:rFonts w:ascii="Times New Roman" w:hAnsi="Times New Roman" w:cs="Times New Roman"/>
          <w:b/>
          <w:sz w:val="28"/>
        </w:rPr>
      </w:pPr>
      <w:r w:rsidRPr="00123CE5">
        <w:rPr>
          <w:rFonts w:ascii="Times New Roman" w:hAnsi="Times New Roman" w:cs="Times New Roman"/>
          <w:b/>
          <w:sz w:val="28"/>
        </w:rPr>
        <w:t>СОДЕРЖАНИЕ:</w:t>
      </w:r>
    </w:p>
    <w:p w:rsidR="002023BE" w:rsidRPr="002023BE" w:rsidRDefault="002023BE" w:rsidP="002023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23BE">
        <w:rPr>
          <w:rFonts w:ascii="Times New Roman" w:hAnsi="Times New Roman" w:cs="Times New Roman"/>
          <w:sz w:val="28"/>
          <w:szCs w:val="28"/>
        </w:rPr>
        <w:t>Причины</w:t>
      </w:r>
    </w:p>
    <w:p w:rsidR="002023BE" w:rsidRPr="002023BE" w:rsidRDefault="002023BE" w:rsidP="002023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23BE">
        <w:rPr>
          <w:rFonts w:ascii="Times New Roman" w:hAnsi="Times New Roman" w:cs="Times New Roman"/>
          <w:sz w:val="28"/>
          <w:szCs w:val="28"/>
        </w:rPr>
        <w:t>Патогенез</w:t>
      </w:r>
    </w:p>
    <w:p w:rsidR="002023BE" w:rsidRPr="002023BE" w:rsidRDefault="002023BE" w:rsidP="002023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23BE">
        <w:rPr>
          <w:rFonts w:ascii="Times New Roman" w:hAnsi="Times New Roman" w:cs="Times New Roman"/>
          <w:sz w:val="28"/>
          <w:szCs w:val="28"/>
        </w:rPr>
        <w:t>Классификация</w:t>
      </w:r>
    </w:p>
    <w:p w:rsidR="002023BE" w:rsidRPr="002023BE" w:rsidRDefault="002023BE" w:rsidP="002023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23BE">
        <w:rPr>
          <w:rFonts w:ascii="Times New Roman" w:hAnsi="Times New Roman" w:cs="Times New Roman"/>
          <w:sz w:val="28"/>
          <w:szCs w:val="28"/>
        </w:rPr>
        <w:t>Симптомы туберкулеза почек</w:t>
      </w:r>
    </w:p>
    <w:p w:rsidR="002023BE" w:rsidRPr="002023BE" w:rsidRDefault="002023BE" w:rsidP="002023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23BE">
        <w:rPr>
          <w:rFonts w:ascii="Times New Roman" w:hAnsi="Times New Roman" w:cs="Times New Roman"/>
          <w:sz w:val="28"/>
          <w:szCs w:val="28"/>
        </w:rPr>
        <w:t>Диагностика</w:t>
      </w:r>
    </w:p>
    <w:p w:rsidR="002023BE" w:rsidRPr="002023BE" w:rsidRDefault="002023BE" w:rsidP="002023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23BE">
        <w:rPr>
          <w:rFonts w:ascii="Times New Roman" w:hAnsi="Times New Roman" w:cs="Times New Roman"/>
          <w:sz w:val="28"/>
          <w:szCs w:val="28"/>
        </w:rPr>
        <w:t>Лечение туберкулеза почек</w:t>
      </w:r>
    </w:p>
    <w:p w:rsidR="002023BE" w:rsidRPr="002023BE" w:rsidRDefault="002023BE" w:rsidP="002023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23BE">
        <w:rPr>
          <w:rFonts w:ascii="Times New Roman" w:hAnsi="Times New Roman" w:cs="Times New Roman"/>
          <w:sz w:val="28"/>
          <w:szCs w:val="28"/>
        </w:rPr>
        <w:t>Прогноз и профилактика</w:t>
      </w:r>
    </w:p>
    <w:p w:rsidR="002023BE" w:rsidRPr="002023BE" w:rsidRDefault="002023BE" w:rsidP="002023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23BE">
        <w:rPr>
          <w:rFonts w:ascii="Times New Roman" w:hAnsi="Times New Roman" w:cs="Times New Roman"/>
          <w:sz w:val="28"/>
          <w:szCs w:val="28"/>
        </w:rPr>
        <w:t>Цены на лечение</w:t>
      </w: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2023BE">
        <w:rPr>
          <w:rFonts w:ascii="Times New Roman" w:hAnsi="Times New Roman" w:cs="Times New Roman"/>
          <w:sz w:val="28"/>
          <w:szCs w:val="28"/>
        </w:rPr>
        <w:t xml:space="preserve">уберкулез почек – это внелегочная инфекция, вызываемая микобактериями туберкулеза и поражающая почечную паренхиму. Клиника неспецифична, может включать недомогание, субфебрилитет, боли в пояснице,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макрогемматурию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, дизурию. Туберкулез почек диагностируется с помощью лабораторных анализов мочи,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туберкулинодиагностики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, УЗИ почек, урографии, ретроградной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уретеропиелографии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нефросцинтиграфии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, морфологического исследования. Лечение предусматривает назначение специфической противотуберкулезной терапии; при деструктивном процессе в почках может потребоваться выполнение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кавернэктомии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нефрэктомии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>.</w:t>
      </w: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Pr="002023BE" w:rsidRDefault="002023BE" w:rsidP="002023BE">
      <w:pPr>
        <w:rPr>
          <w:rFonts w:ascii="Times New Roman" w:hAnsi="Times New Roman" w:cs="Times New Roman"/>
          <w:b/>
          <w:sz w:val="28"/>
          <w:szCs w:val="28"/>
        </w:rPr>
      </w:pPr>
      <w:r w:rsidRPr="002023BE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  <w:r w:rsidRPr="002023BE">
        <w:rPr>
          <w:rFonts w:ascii="Times New Roman" w:hAnsi="Times New Roman" w:cs="Times New Roman"/>
          <w:b/>
          <w:sz w:val="28"/>
          <w:szCs w:val="28"/>
        </w:rPr>
        <w:t>:</w:t>
      </w: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  <w:r w:rsidRPr="002023BE">
        <w:rPr>
          <w:rFonts w:ascii="Times New Roman" w:hAnsi="Times New Roman" w:cs="Times New Roman"/>
          <w:sz w:val="28"/>
          <w:szCs w:val="28"/>
        </w:rPr>
        <w:t>Среди органных внелегочных поражений туберкулез почек (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нефротуберкулез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>) является наиболее распространенной формой заболевания и встречается в урологии в 30-40% наблюдений. Первоначально происходит поражение коркового слоя органа. Дальнейшее прогрессирование инфекции сопровождается распадом тканей, образованием полостей и каверн в почечной паренхиме, нарушением функционирования почек. В тяжелых случаях наблюдается развитие туберкулезного пионефроза (гнойного расплавления почечной ткани), вовлечение в инфекционный процесс лоханки, мочеточника, мочевого пузыря, половых органов.</w:t>
      </w: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23BE">
        <w:rPr>
          <w:rFonts w:ascii="Times New Roman" w:hAnsi="Times New Roman" w:cs="Times New Roman"/>
          <w:sz w:val="28"/>
          <w:szCs w:val="28"/>
        </w:rPr>
        <w:t xml:space="preserve">При туберкулезе почек достаточно часто развивается генитальный туберкулез, поражающий у мужчин простату, яички, придатки яичек (туберкулезный простатит, орхит, эпидидимит); у женщин – придатки, фаллопиевы трубы, матку (туберкулезный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сальпингоофорит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>, сальпингит, эндометрит).</w:t>
      </w:r>
      <w:proofErr w:type="gramEnd"/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Pr="002023BE" w:rsidRDefault="002023BE" w:rsidP="002023BE">
      <w:pPr>
        <w:rPr>
          <w:rFonts w:ascii="Times New Roman" w:hAnsi="Times New Roman" w:cs="Times New Roman"/>
          <w:b/>
          <w:sz w:val="28"/>
          <w:szCs w:val="28"/>
        </w:rPr>
      </w:pPr>
      <w:r w:rsidRPr="002023BE">
        <w:rPr>
          <w:rFonts w:ascii="Times New Roman" w:hAnsi="Times New Roman" w:cs="Times New Roman"/>
          <w:b/>
          <w:sz w:val="28"/>
          <w:szCs w:val="28"/>
        </w:rPr>
        <w:t>Причины</w:t>
      </w:r>
      <w:r w:rsidRPr="002023BE">
        <w:rPr>
          <w:rFonts w:ascii="Times New Roman" w:hAnsi="Times New Roman" w:cs="Times New Roman"/>
          <w:b/>
          <w:sz w:val="28"/>
          <w:szCs w:val="28"/>
        </w:rPr>
        <w:t>:</w:t>
      </w: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  <w:r w:rsidRPr="002023BE">
        <w:rPr>
          <w:rFonts w:ascii="Times New Roman" w:hAnsi="Times New Roman" w:cs="Times New Roman"/>
          <w:sz w:val="28"/>
          <w:szCs w:val="28"/>
        </w:rPr>
        <w:t xml:space="preserve">Возбудителями туберкулеза почек являются микобактерии туберкулеза (М.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tuberculosis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). Как правило, патология возникает у пациентов с запущенным легочным или костным туберкулезом после 3-10 лет течения первичного туберкулезного процесса. Развитие заболевания, как правило, происходит на фоне имеющихся местных инфекционных или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уродинамических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 процессов – хронического пиелонефрита, камней почек и др.</w:t>
      </w: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Pr="002023BE" w:rsidRDefault="002023BE" w:rsidP="002023BE">
      <w:pPr>
        <w:rPr>
          <w:rFonts w:ascii="Times New Roman" w:hAnsi="Times New Roman" w:cs="Times New Roman"/>
          <w:b/>
          <w:sz w:val="28"/>
          <w:szCs w:val="28"/>
        </w:rPr>
      </w:pPr>
      <w:r w:rsidRPr="002023BE">
        <w:rPr>
          <w:rFonts w:ascii="Times New Roman" w:hAnsi="Times New Roman" w:cs="Times New Roman"/>
          <w:b/>
          <w:sz w:val="28"/>
          <w:szCs w:val="28"/>
        </w:rPr>
        <w:t>Патогенез</w:t>
      </w:r>
      <w:r w:rsidRPr="002023BE">
        <w:rPr>
          <w:rFonts w:ascii="Times New Roman" w:hAnsi="Times New Roman" w:cs="Times New Roman"/>
          <w:b/>
          <w:sz w:val="28"/>
          <w:szCs w:val="28"/>
        </w:rPr>
        <w:t>:</w:t>
      </w: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  <w:r w:rsidRPr="002023BE">
        <w:rPr>
          <w:rFonts w:ascii="Times New Roman" w:hAnsi="Times New Roman" w:cs="Times New Roman"/>
          <w:sz w:val="28"/>
          <w:szCs w:val="28"/>
        </w:rPr>
        <w:t xml:space="preserve">Проникновение инфекции в почку происходит преимущественно гематогенным путем. Попадая с током крови в клубочковый аппарат, микобактерии формируют множественные мельчайшие туберкулезные очаги. </w:t>
      </w:r>
      <w:proofErr w:type="gramStart"/>
      <w:r w:rsidRPr="002023BE">
        <w:rPr>
          <w:rFonts w:ascii="Times New Roman" w:hAnsi="Times New Roman" w:cs="Times New Roman"/>
          <w:sz w:val="28"/>
          <w:szCs w:val="28"/>
        </w:rPr>
        <w:t>При хорошей местной и общей устойчивости к инфекции и малых размерах первичных очагов, последние могут подвергаться полному обратному развитию.</w:t>
      </w:r>
      <w:proofErr w:type="gramEnd"/>
      <w:r w:rsidRPr="002023BE">
        <w:rPr>
          <w:rFonts w:ascii="Times New Roman" w:hAnsi="Times New Roman" w:cs="Times New Roman"/>
          <w:sz w:val="28"/>
          <w:szCs w:val="28"/>
        </w:rPr>
        <w:t xml:space="preserve"> При расстройствах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уродинамики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 и гемодинамики, а также сниженных защитных силах из коркового слоя инфекция распространяется в </w:t>
      </w:r>
      <w:r w:rsidRPr="002023BE">
        <w:rPr>
          <w:rFonts w:ascii="Times New Roman" w:hAnsi="Times New Roman" w:cs="Times New Roman"/>
          <w:sz w:val="28"/>
          <w:szCs w:val="28"/>
        </w:rPr>
        <w:lastRenderedPageBreak/>
        <w:t xml:space="preserve">мозговое вещество, вызывая специфическое воспаление почечных сосочков - туберкулезный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папиллит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>.</w:t>
      </w: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  <w:r w:rsidRPr="002023BE">
        <w:rPr>
          <w:rFonts w:ascii="Times New Roman" w:hAnsi="Times New Roman" w:cs="Times New Roman"/>
          <w:sz w:val="28"/>
          <w:szCs w:val="28"/>
        </w:rPr>
        <w:t>По мере дальнейшего развития туберкулеза в процесс вовлекается вся толща почечных пирамид, происходит казеозный распад последних, что сопровождается образованием изолированных или сообщающихся с чашечно-лоханочными комплексами каверн. Прогрессирование туберкулеза почек может привести к формированию в почечной паренхиме множественных полостей (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поликавернозная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 форма) и развитию пионефроза. Последующее заживление каверн протекает с обызвествлением казеозных очагов, в которых, однако, могут сохраняться жизнеспособные микобактерии туберкулеза.</w:t>
      </w: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  <w:r w:rsidRPr="002023BE">
        <w:rPr>
          <w:rFonts w:ascii="Times New Roman" w:hAnsi="Times New Roman" w:cs="Times New Roman"/>
          <w:sz w:val="28"/>
          <w:szCs w:val="28"/>
        </w:rPr>
        <w:t xml:space="preserve">Вторичное вовлечение мочевого пузыря, мочеточников и чашечно-лоханочных комплексов связано с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лифогенным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 или уриногенным механизмом распространения туберкулезной инфекции.</w:t>
      </w: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Pr="002023BE" w:rsidRDefault="002023BE" w:rsidP="002023BE">
      <w:pPr>
        <w:rPr>
          <w:rFonts w:ascii="Times New Roman" w:hAnsi="Times New Roman" w:cs="Times New Roman"/>
          <w:b/>
          <w:sz w:val="28"/>
          <w:szCs w:val="28"/>
        </w:rPr>
      </w:pPr>
      <w:r w:rsidRPr="002023BE">
        <w:rPr>
          <w:rFonts w:ascii="Times New Roman" w:hAnsi="Times New Roman" w:cs="Times New Roman"/>
          <w:b/>
          <w:sz w:val="28"/>
          <w:szCs w:val="28"/>
        </w:rPr>
        <w:t>Классификация</w:t>
      </w:r>
      <w:r w:rsidRPr="002023BE">
        <w:rPr>
          <w:rFonts w:ascii="Times New Roman" w:hAnsi="Times New Roman" w:cs="Times New Roman"/>
          <w:b/>
          <w:sz w:val="28"/>
          <w:szCs w:val="28"/>
        </w:rPr>
        <w:t>:</w:t>
      </w: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  <w:r w:rsidRPr="002023BE">
        <w:rPr>
          <w:rFonts w:ascii="Times New Roman" w:hAnsi="Times New Roman" w:cs="Times New Roman"/>
          <w:sz w:val="28"/>
          <w:szCs w:val="28"/>
        </w:rPr>
        <w:t>В клинической урологии принята классификация, учитывающая клинико-рентгенологические особенности туберкулеза почек. Согласно данной классификации выделяют:</w:t>
      </w: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  <w:r w:rsidRPr="002023BE">
        <w:rPr>
          <w:rFonts w:ascii="Times New Roman" w:hAnsi="Times New Roman" w:cs="Times New Roman"/>
          <w:sz w:val="28"/>
          <w:szCs w:val="28"/>
        </w:rPr>
        <w:t>Туберкулез почечной паренхимы, сопровождающийся образованием множественных очагов в корковом и медуллярном слое почки.</w:t>
      </w: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  <w:r w:rsidRPr="002023BE">
        <w:rPr>
          <w:rFonts w:ascii="Times New Roman" w:hAnsi="Times New Roman" w:cs="Times New Roman"/>
          <w:sz w:val="28"/>
          <w:szCs w:val="28"/>
        </w:rPr>
        <w:t xml:space="preserve">Туберкулезный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папиллит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>, протекающий с поражением почечных сосочков.</w:t>
      </w: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  <w:r w:rsidRPr="002023BE">
        <w:rPr>
          <w:rFonts w:ascii="Times New Roman" w:hAnsi="Times New Roman" w:cs="Times New Roman"/>
          <w:sz w:val="28"/>
          <w:szCs w:val="28"/>
        </w:rPr>
        <w:t>Кавернозный туберкулез почек, характеризующийся слиянием деструктивных очагов с инкапсуляцией (полостная форма).</w:t>
      </w: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  <w:r w:rsidRPr="002023BE">
        <w:rPr>
          <w:rFonts w:ascii="Times New Roman" w:hAnsi="Times New Roman" w:cs="Times New Roman"/>
          <w:sz w:val="28"/>
          <w:szCs w:val="28"/>
        </w:rPr>
        <w:t>Фиброзно-кавернозный туберкулез почек, сопровождающийся облитерацией чашечек с формированием в них замкнутых деструктивно-гнойных полостей.</w:t>
      </w: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Омелотворение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 (обызвествление) почки, выражающееся в формировании ограниченных патологических очагов с большим количеством солей кальция (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казеом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туберкулем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>).</w:t>
      </w:r>
    </w:p>
    <w:p w:rsidR="002023BE" w:rsidRPr="002023BE" w:rsidRDefault="002023BE" w:rsidP="002023BE">
      <w:pPr>
        <w:rPr>
          <w:rFonts w:ascii="Times New Roman" w:hAnsi="Times New Roman" w:cs="Times New Roman"/>
          <w:b/>
          <w:sz w:val="28"/>
          <w:szCs w:val="28"/>
        </w:rPr>
      </w:pPr>
      <w:r w:rsidRPr="002023BE">
        <w:rPr>
          <w:rFonts w:ascii="Times New Roman" w:hAnsi="Times New Roman" w:cs="Times New Roman"/>
          <w:b/>
          <w:sz w:val="28"/>
          <w:szCs w:val="28"/>
        </w:rPr>
        <w:lastRenderedPageBreak/>
        <w:t>Симптомы туберкулеза почек</w:t>
      </w:r>
      <w:r w:rsidRPr="002023BE">
        <w:rPr>
          <w:rFonts w:ascii="Times New Roman" w:hAnsi="Times New Roman" w:cs="Times New Roman"/>
          <w:b/>
          <w:sz w:val="28"/>
          <w:szCs w:val="28"/>
        </w:rPr>
        <w:t>:</w:t>
      </w: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  <w:r w:rsidRPr="002023BE">
        <w:rPr>
          <w:rFonts w:ascii="Times New Roman" w:hAnsi="Times New Roman" w:cs="Times New Roman"/>
          <w:sz w:val="28"/>
          <w:szCs w:val="28"/>
        </w:rPr>
        <w:t xml:space="preserve">Патогномоничная симптоматика отсутствует. На ранних стадиях патология может иметь латентное течение или характеризоваться нарушениями общего самочувствия: легким недомоганием, быстрой утомляемостью, субфебрильной температурой, прогрессирующим похуданием. Деструктивные изменения в почках сопровождаются появлением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безболевой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 тотальной гематурии, вызванной эрозией сосудов при изъязвлении почечных сосочков. Кровотечение нередко сменяется пиурией, свидетельствующей о развитии пиелита или пиелонефрита.</w:t>
      </w: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  <w:r w:rsidRPr="002023BE">
        <w:rPr>
          <w:rFonts w:ascii="Times New Roman" w:hAnsi="Times New Roman" w:cs="Times New Roman"/>
          <w:sz w:val="28"/>
          <w:szCs w:val="28"/>
        </w:rPr>
        <w:t xml:space="preserve">При кавернозном туберкулезе почек отмечаются признаки инфекционной интоксикации, боли в пояснице. Болевые ощущения, как правило, выражены умеренно, носят ноющий тупой характер, однако при нарушениях оттока мочи могут прогрессировать до почечной колики. Двустороннее нарушение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уродинамики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 сопровождается признаками хронической почечной недостаточности. При туберкулезном цистите присоединяются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дизурические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 явления – императивные позывы к мочеиспусканию, поллакиурия,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странгурия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>, постоянная боль над лоном, периодическая макрогематурия. В запущенных стадиях болезни нередко развивается артериальная гипертензия.</w:t>
      </w:r>
    </w:p>
    <w:p w:rsidR="002023BE" w:rsidRPr="002023BE" w:rsidRDefault="002023BE" w:rsidP="002023BE">
      <w:pPr>
        <w:rPr>
          <w:rFonts w:ascii="Times New Roman" w:hAnsi="Times New Roman" w:cs="Times New Roman"/>
          <w:b/>
          <w:sz w:val="28"/>
          <w:szCs w:val="28"/>
        </w:rPr>
      </w:pPr>
    </w:p>
    <w:p w:rsidR="002023BE" w:rsidRPr="002023BE" w:rsidRDefault="002023BE" w:rsidP="002023BE">
      <w:pPr>
        <w:rPr>
          <w:rFonts w:ascii="Times New Roman" w:hAnsi="Times New Roman" w:cs="Times New Roman"/>
          <w:b/>
          <w:sz w:val="28"/>
          <w:szCs w:val="28"/>
        </w:rPr>
      </w:pPr>
      <w:r w:rsidRPr="002023BE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Pr="002023BE">
        <w:rPr>
          <w:rFonts w:ascii="Times New Roman" w:hAnsi="Times New Roman" w:cs="Times New Roman"/>
          <w:b/>
          <w:sz w:val="28"/>
          <w:szCs w:val="28"/>
        </w:rPr>
        <w:t>:</w:t>
      </w: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  <w:r w:rsidRPr="002023BE">
        <w:rPr>
          <w:rFonts w:ascii="Times New Roman" w:hAnsi="Times New Roman" w:cs="Times New Roman"/>
          <w:sz w:val="28"/>
          <w:szCs w:val="28"/>
        </w:rPr>
        <w:t xml:space="preserve">Учитывая, что туберкулез почек может протекать бессимптомно или в виде различных клинических вариантов, в диагностике первостепенное значение приобретает проведение лабораторных и аппаратно-инструментальных исследований. При подозрении на туберкулез почек показано проведение туберкулиновой пробы и консультация фтизиатра. При сборе анамнеза выясняют факт наличия легочного туберкулеза у самого пациента и его родственников, контакты с туберкулезными больными. У худых больных в ряде случаев удается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пропальпировать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 плотную, бугристую почку. Определяется ярко выраженный симптом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Пастернацкого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>.</w:t>
      </w: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  <w:r w:rsidRPr="002023BE">
        <w:rPr>
          <w:rFonts w:ascii="Times New Roman" w:hAnsi="Times New Roman" w:cs="Times New Roman"/>
          <w:sz w:val="28"/>
          <w:szCs w:val="28"/>
        </w:rPr>
        <w:t xml:space="preserve">Характерными изменениями общего анализа мочи служат стойкая резко кислая реакция,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лейкоцитурия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, протеинурия,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эритроцитурия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, пиурия. Достоверно судить о наличии туберкулеза почек позволяет выявление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микобактериурии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023B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023BE">
        <w:rPr>
          <w:rFonts w:ascii="Times New Roman" w:hAnsi="Times New Roman" w:cs="Times New Roman"/>
          <w:sz w:val="28"/>
          <w:szCs w:val="28"/>
        </w:rPr>
        <w:t xml:space="preserve"> обнаруживается при помощи </w:t>
      </w:r>
      <w:r w:rsidRPr="002023BE">
        <w:rPr>
          <w:rFonts w:ascii="Times New Roman" w:hAnsi="Times New Roman" w:cs="Times New Roman"/>
          <w:sz w:val="28"/>
          <w:szCs w:val="28"/>
        </w:rPr>
        <w:lastRenderedPageBreak/>
        <w:t>бактериологического посева мочи или ПЦР-исследования. Проведение ИФА позволяет обнаружить антитела к туберкулезу, гамма-интерферон (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квантифероновый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 тест) или сенсибилизированные Т-клетки (Т-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спот</w:t>
      </w:r>
      <w:proofErr w:type="gramStart"/>
      <w:r w:rsidRPr="002023B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023BE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). В определенных случаях требуется выполнение провокационных тестов с туберкулином. После подкожного введения туберкулезного антигена происходит обострение процесса, что сопровождается выраженной протеинурией, пиурией и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микобактериурией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>.</w:t>
      </w: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  <w:r w:rsidRPr="002023BE">
        <w:rPr>
          <w:rFonts w:ascii="Times New Roman" w:hAnsi="Times New Roman" w:cs="Times New Roman"/>
          <w:sz w:val="28"/>
          <w:szCs w:val="28"/>
        </w:rPr>
        <w:t xml:space="preserve">УЗИ почек при их туберкулезном поражении позволяет выявлять каверны,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обызвествленные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 очаги, оценить степень вовлечения почечной паренхимы и динамику регресса заболевания под действием проводимой терапии. Рентгеновское исследование почек (обзорная урография, экскреторная урография, ретроградная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уретеропиелография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антеградная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 пиелография) помогают комплексно оценить состояние паренхимы и чашечно-лоханочного аппарата почек, мочеточников, мочевого пузыря. Выполнение почечной ангиографии позволяет определить </w:t>
      </w:r>
      <w:proofErr w:type="gramStart"/>
      <w:r w:rsidRPr="002023BE">
        <w:rPr>
          <w:rFonts w:ascii="Times New Roman" w:hAnsi="Times New Roman" w:cs="Times New Roman"/>
          <w:sz w:val="28"/>
          <w:szCs w:val="28"/>
        </w:rPr>
        <w:t>внутриорганную</w:t>
      </w:r>
      <w:proofErr w:type="gramEnd"/>
      <w:r w:rsidRPr="00202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ангиоархитектонику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 в случае необходимости резекции почки.</w:t>
      </w: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  <w:r w:rsidRPr="002023BE">
        <w:rPr>
          <w:rFonts w:ascii="Times New Roman" w:hAnsi="Times New Roman" w:cs="Times New Roman"/>
          <w:sz w:val="28"/>
          <w:szCs w:val="28"/>
        </w:rPr>
        <w:t xml:space="preserve">Широкими диагностическими возможностями обладают КТ почек и МРТ. Данные о функциональном состоянии почек при туберкулезе получают с помощью радиоизотопной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нефросцинтиграфии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. Биопсия почки опасна диссеминацией инфекционного процесса, однако по показаниям может выполняться цистоскопия с биопсией слизистой мочевого пузыря. Морфологическое исследование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биопатата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 мочевого пузыря в ряде случаев позволяет обнаружить гигантские клетки Пирогова-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Лангганса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 даже при отсутствии визуальных изменений слизистой. Дифференциальная диагностика необходима с гидронефрозом, неспецифическим пиелонефритом, губчатой почкой,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мегакаликозом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поликистозом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 почки.</w:t>
      </w: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Pr="002023BE" w:rsidRDefault="002023BE" w:rsidP="002023BE">
      <w:pPr>
        <w:rPr>
          <w:rFonts w:ascii="Times New Roman" w:hAnsi="Times New Roman" w:cs="Times New Roman"/>
          <w:b/>
          <w:sz w:val="28"/>
          <w:szCs w:val="28"/>
        </w:rPr>
      </w:pPr>
      <w:r w:rsidRPr="002023BE">
        <w:rPr>
          <w:rFonts w:ascii="Times New Roman" w:hAnsi="Times New Roman" w:cs="Times New Roman"/>
          <w:b/>
          <w:sz w:val="28"/>
          <w:szCs w:val="28"/>
        </w:rPr>
        <w:lastRenderedPageBreak/>
        <w:t>Лечение туберкулеза почек</w:t>
      </w:r>
      <w:r w:rsidRPr="002023BE">
        <w:rPr>
          <w:rFonts w:ascii="Times New Roman" w:hAnsi="Times New Roman" w:cs="Times New Roman"/>
          <w:b/>
          <w:sz w:val="28"/>
          <w:szCs w:val="28"/>
        </w:rPr>
        <w:t>:</w:t>
      </w: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  <w:r w:rsidRPr="002023BE">
        <w:rPr>
          <w:rFonts w:ascii="Times New Roman" w:hAnsi="Times New Roman" w:cs="Times New Roman"/>
          <w:sz w:val="28"/>
          <w:szCs w:val="28"/>
        </w:rPr>
        <w:t xml:space="preserve">Лечение при туберкулезе почек может быть медикаментозным и комбинированным (хирургическим и медикаментозным). Медикаментозное лечение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нефротуберкулеза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 включает назначение специфических противотуберкулезных препаратов разных групп на срок от 6 до 12 месяцев (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рифампицин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изониазид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этамбутол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пиразинамид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протионамид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>, стрептомицин и др.).</w:t>
      </w: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  <w:r w:rsidRPr="002023BE">
        <w:rPr>
          <w:rFonts w:ascii="Times New Roman" w:hAnsi="Times New Roman" w:cs="Times New Roman"/>
          <w:sz w:val="28"/>
          <w:szCs w:val="28"/>
        </w:rPr>
        <w:t xml:space="preserve">Перспективно сочетание препаратов первого ряда с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фторхинолонами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офлоксацином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ципрофлоксацином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ломефлоксацином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). Специфическая химиотерапия при туберкулезе почек дополняется назначением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ангиопротекторов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, НПВС, предотвращающих рубцовое сморщивание почечной ткани. Следует учитывать, что длительное лечение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антитуберкулезными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 препаратами может приводить к </w:t>
      </w:r>
      <w:proofErr w:type="gramStart"/>
      <w:r w:rsidRPr="002023BE">
        <w:rPr>
          <w:rFonts w:ascii="Times New Roman" w:hAnsi="Times New Roman" w:cs="Times New Roman"/>
          <w:sz w:val="28"/>
          <w:szCs w:val="28"/>
        </w:rPr>
        <w:t>тяжелому</w:t>
      </w:r>
      <w:proofErr w:type="gramEnd"/>
      <w:r w:rsidRPr="002023BE">
        <w:rPr>
          <w:rFonts w:ascii="Times New Roman" w:hAnsi="Times New Roman" w:cs="Times New Roman"/>
          <w:sz w:val="28"/>
          <w:szCs w:val="28"/>
        </w:rPr>
        <w:t xml:space="preserve"> дисбактериозу кишечника, аллергическим реакциям.</w:t>
      </w: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  <w:r w:rsidRPr="002023BE">
        <w:rPr>
          <w:rFonts w:ascii="Times New Roman" w:hAnsi="Times New Roman" w:cs="Times New Roman"/>
          <w:sz w:val="28"/>
          <w:szCs w:val="28"/>
        </w:rPr>
        <w:t xml:space="preserve">При нарушении оттока мочи из почки требуется установка мочеточникового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стента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 или проведение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нефростомии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>. В случае развития локального деструктивного процесса в почке консервативную терапию дополняют санацией пораженного сегмента (кавернотомией) или частичной резекцией почки (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кавернэктомией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). При тотальной деструкции органа </w:t>
      </w:r>
      <w:proofErr w:type="gramStart"/>
      <w:r w:rsidRPr="002023BE">
        <w:rPr>
          <w:rFonts w:ascii="Times New Roman" w:hAnsi="Times New Roman" w:cs="Times New Roman"/>
          <w:sz w:val="28"/>
          <w:szCs w:val="28"/>
        </w:rPr>
        <w:t>показана</w:t>
      </w:r>
      <w:proofErr w:type="gramEnd"/>
      <w:r w:rsidRPr="00202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нефрэктомия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>.</w:t>
      </w: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Pr="002023BE" w:rsidRDefault="002023BE" w:rsidP="002023BE">
      <w:pPr>
        <w:rPr>
          <w:rFonts w:ascii="Times New Roman" w:hAnsi="Times New Roman" w:cs="Times New Roman"/>
          <w:b/>
          <w:sz w:val="28"/>
          <w:szCs w:val="28"/>
        </w:rPr>
      </w:pPr>
      <w:r w:rsidRPr="002023BE">
        <w:rPr>
          <w:rFonts w:ascii="Times New Roman" w:hAnsi="Times New Roman" w:cs="Times New Roman"/>
          <w:b/>
          <w:sz w:val="28"/>
          <w:szCs w:val="28"/>
        </w:rPr>
        <w:t>Прогноз и профилактика</w:t>
      </w:r>
      <w:r w:rsidRPr="002023BE">
        <w:rPr>
          <w:rFonts w:ascii="Times New Roman" w:hAnsi="Times New Roman" w:cs="Times New Roman"/>
          <w:b/>
          <w:sz w:val="28"/>
          <w:szCs w:val="28"/>
        </w:rPr>
        <w:t>:</w:t>
      </w: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  <w:r w:rsidRPr="002023BE">
        <w:rPr>
          <w:rFonts w:ascii="Times New Roman" w:hAnsi="Times New Roman" w:cs="Times New Roman"/>
          <w:sz w:val="28"/>
          <w:szCs w:val="28"/>
        </w:rPr>
        <w:t xml:space="preserve">Основным прогностическим критерием является стадия заболевания. Раннее выявление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нефротуберкулеза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>, отсутствие деструктивных процессов в чашечно-лоханочной системе, мочеточниках и мочевом пузыре на фоне адекватной специфической химиотерапии может сопровождаться полным излечением. Неблагоприятным в плане прогноза является двусторонний туберкулез почек с выраженным разрушением почечной паренхимы.</w:t>
      </w:r>
    </w:p>
    <w:p w:rsidR="002023BE" w:rsidRP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  <w:r w:rsidRPr="002023BE">
        <w:rPr>
          <w:rFonts w:ascii="Times New Roman" w:hAnsi="Times New Roman" w:cs="Times New Roman"/>
          <w:sz w:val="28"/>
          <w:szCs w:val="28"/>
        </w:rPr>
        <w:t xml:space="preserve">Все пациенты, перенесшие данное заболевание, находятся на диспансерном учете у фтизиатра и врача-нефролога с периодическим обследованием. Критериями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излеченности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 служит нормализация показателей мочи, </w:t>
      </w:r>
      <w:r w:rsidRPr="002023BE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рецидива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нефротуберкулеза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 по рентгенологическим данным в течение 3-х лет. Предупреждение туберкулеза почек заключается в соблюдении мер специфической (вакцинация против туберкулеза) и неспецифической профилактики легочного туберкулезе.</w:t>
      </w: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Default="002023BE" w:rsidP="002023BE">
      <w:pPr>
        <w:rPr>
          <w:rFonts w:ascii="Times New Roman" w:hAnsi="Times New Roman" w:cs="Times New Roman"/>
          <w:sz w:val="28"/>
          <w:szCs w:val="28"/>
        </w:rPr>
      </w:pPr>
    </w:p>
    <w:p w:rsidR="002023BE" w:rsidRPr="002023BE" w:rsidRDefault="002023BE" w:rsidP="002023B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023B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2023BE" w:rsidRPr="002023BE" w:rsidRDefault="002023BE" w:rsidP="002023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3BE">
        <w:rPr>
          <w:rFonts w:ascii="Times New Roman" w:hAnsi="Times New Roman" w:cs="Times New Roman"/>
          <w:sz w:val="28"/>
          <w:szCs w:val="28"/>
        </w:rPr>
        <w:t>Всемирная организация здравоохранения. Смертность и бремя болезней в Российской Федерации / Туберкулез. — 2016. [Электронный ресурс]. Дата обращения: 12.06.2019.</w:t>
      </w:r>
    </w:p>
    <w:p w:rsidR="002023BE" w:rsidRPr="002023BE" w:rsidRDefault="002023BE" w:rsidP="002023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Кульчавеня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Баранчукова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 А.А. Классификация, клиническая картина и диагностика туберкулеза мочевой системы // Медицина и образование в Сибири. — 2013. — № 5.</w:t>
      </w:r>
    </w:p>
    <w:p w:rsidR="002023BE" w:rsidRPr="002023BE" w:rsidRDefault="002023BE" w:rsidP="002023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Левашев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 Ю.Н., Репин Ю.М. Руководство по легочному и внелегочному туберкулезу. — СПб</w:t>
      </w:r>
      <w:proofErr w:type="gramStart"/>
      <w:r w:rsidRPr="002023B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023BE">
        <w:rPr>
          <w:rFonts w:ascii="Times New Roman" w:hAnsi="Times New Roman" w:cs="Times New Roman"/>
          <w:sz w:val="28"/>
          <w:szCs w:val="28"/>
        </w:rPr>
        <w:t>Элби, 2006. — 516 с.</w:t>
      </w:r>
    </w:p>
    <w:p w:rsidR="002023BE" w:rsidRPr="002023BE" w:rsidRDefault="002023BE" w:rsidP="002023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Лелявин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 К.Б. Туберкулез мочеполовой системы: учебное пособие в 3 частях. — Иркутск: Изд-во Иркутского государственного института усовершенствования врачей, 2009. — 64 с.</w:t>
      </w:r>
    </w:p>
    <w:p w:rsidR="002023BE" w:rsidRPr="002023BE" w:rsidRDefault="002023BE" w:rsidP="002023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Лелявин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 К.Б.,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Каня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 О.В. Туберкулез предстательной железы: морфологические изменения, особенности дифференциальной диагностики // Актуальные вопросы эпидемиологии, клиники и диагностики туберкулеза. Материалы конференции. — Иркутск, 2007. — С. 52-56.</w:t>
      </w:r>
    </w:p>
    <w:p w:rsidR="002023BE" w:rsidRPr="002023BE" w:rsidRDefault="002023BE" w:rsidP="002023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3BE">
        <w:rPr>
          <w:rFonts w:ascii="Times New Roman" w:hAnsi="Times New Roman" w:cs="Times New Roman"/>
          <w:sz w:val="28"/>
          <w:szCs w:val="28"/>
        </w:rPr>
        <w:t xml:space="preserve">Ткачук В.Н., 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Ягафарова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 Р.К., Аль-</w:t>
      </w:r>
      <w:proofErr w:type="spellStart"/>
      <w:r w:rsidRPr="002023BE">
        <w:rPr>
          <w:rFonts w:ascii="Times New Roman" w:hAnsi="Times New Roman" w:cs="Times New Roman"/>
          <w:sz w:val="28"/>
          <w:szCs w:val="28"/>
        </w:rPr>
        <w:t>Шукри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 xml:space="preserve"> С.Х. Туберкулёз мочеполовой системы: руководство для врачей. — СПб</w:t>
      </w:r>
      <w:proofErr w:type="gramStart"/>
      <w:r w:rsidRPr="002023BE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2023BE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2023BE">
        <w:rPr>
          <w:rFonts w:ascii="Times New Roman" w:hAnsi="Times New Roman" w:cs="Times New Roman"/>
          <w:sz w:val="28"/>
          <w:szCs w:val="28"/>
        </w:rPr>
        <w:t>, 2004. — 319 с.</w:t>
      </w:r>
    </w:p>
    <w:p w:rsidR="00693691" w:rsidRDefault="00693691" w:rsidP="002023BE"/>
    <w:sectPr w:rsidR="0069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1B7"/>
    <w:multiLevelType w:val="hybridMultilevel"/>
    <w:tmpl w:val="D468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4BE9"/>
    <w:multiLevelType w:val="hybridMultilevel"/>
    <w:tmpl w:val="C4101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9A"/>
    <w:rsid w:val="002023BE"/>
    <w:rsid w:val="00693691"/>
    <w:rsid w:val="00B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3BE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2023B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2023BE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6">
    <w:name w:val="footer"/>
    <w:basedOn w:val="a"/>
    <w:link w:val="a7"/>
    <w:unhideWhenUsed/>
    <w:rsid w:val="002023B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2023BE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2023BE"/>
    <w:pPr>
      <w:suppressAutoHyphens/>
      <w:spacing w:after="120" w:line="240" w:lineRule="auto"/>
      <w:ind w:left="283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023BE"/>
    <w:rPr>
      <w:rFonts w:ascii="Times New Roman" w:eastAsia="Times New Roman" w:hAnsi="Times New Roman" w:cs="Tms Rmn"/>
      <w:sz w:val="20"/>
      <w:szCs w:val="20"/>
      <w:lang w:eastAsia="ar-SA"/>
    </w:rPr>
  </w:style>
  <w:style w:type="paragraph" w:customStyle="1" w:styleId="1">
    <w:name w:val="Обычный1"/>
    <w:rsid w:val="002023BE"/>
    <w:pPr>
      <w:suppressAutoHyphens/>
      <w:spacing w:after="0" w:line="240" w:lineRule="auto"/>
    </w:pPr>
    <w:rPr>
      <w:rFonts w:ascii="Times New Roman" w:eastAsia="Arial" w:hAnsi="Times New Roman" w:cs="Tms Rmn"/>
      <w:sz w:val="20"/>
      <w:szCs w:val="20"/>
      <w:lang w:eastAsia="ar-SA"/>
    </w:rPr>
  </w:style>
  <w:style w:type="paragraph" w:styleId="aa">
    <w:name w:val="Body Text"/>
    <w:basedOn w:val="1"/>
    <w:link w:val="ab"/>
    <w:semiHidden/>
    <w:unhideWhenUsed/>
    <w:rsid w:val="002023BE"/>
    <w:pPr>
      <w:spacing w:after="220" w:line="220" w:lineRule="atLeast"/>
      <w:ind w:left="835" w:right="-360"/>
    </w:pPr>
    <w:rPr>
      <w:lang w:val="en-US"/>
    </w:rPr>
  </w:style>
  <w:style w:type="character" w:customStyle="1" w:styleId="ab">
    <w:name w:val="Основной текст Знак"/>
    <w:basedOn w:val="a0"/>
    <w:link w:val="aa"/>
    <w:semiHidden/>
    <w:rsid w:val="002023BE"/>
    <w:rPr>
      <w:rFonts w:ascii="Times New Roman" w:eastAsia="Arial" w:hAnsi="Times New Roman" w:cs="Tms Rm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3BE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2023B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2023BE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6">
    <w:name w:val="footer"/>
    <w:basedOn w:val="a"/>
    <w:link w:val="a7"/>
    <w:unhideWhenUsed/>
    <w:rsid w:val="002023B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2023BE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2023BE"/>
    <w:pPr>
      <w:suppressAutoHyphens/>
      <w:spacing w:after="120" w:line="240" w:lineRule="auto"/>
      <w:ind w:left="283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023BE"/>
    <w:rPr>
      <w:rFonts w:ascii="Times New Roman" w:eastAsia="Times New Roman" w:hAnsi="Times New Roman" w:cs="Tms Rmn"/>
      <w:sz w:val="20"/>
      <w:szCs w:val="20"/>
      <w:lang w:eastAsia="ar-SA"/>
    </w:rPr>
  </w:style>
  <w:style w:type="paragraph" w:customStyle="1" w:styleId="1">
    <w:name w:val="Обычный1"/>
    <w:rsid w:val="002023BE"/>
    <w:pPr>
      <w:suppressAutoHyphens/>
      <w:spacing w:after="0" w:line="240" w:lineRule="auto"/>
    </w:pPr>
    <w:rPr>
      <w:rFonts w:ascii="Times New Roman" w:eastAsia="Arial" w:hAnsi="Times New Roman" w:cs="Tms Rmn"/>
      <w:sz w:val="20"/>
      <w:szCs w:val="20"/>
      <w:lang w:eastAsia="ar-SA"/>
    </w:rPr>
  </w:style>
  <w:style w:type="paragraph" w:styleId="aa">
    <w:name w:val="Body Text"/>
    <w:basedOn w:val="1"/>
    <w:link w:val="ab"/>
    <w:semiHidden/>
    <w:unhideWhenUsed/>
    <w:rsid w:val="002023BE"/>
    <w:pPr>
      <w:spacing w:after="220" w:line="220" w:lineRule="atLeast"/>
      <w:ind w:left="835" w:right="-360"/>
    </w:pPr>
    <w:rPr>
      <w:lang w:val="en-US"/>
    </w:rPr>
  </w:style>
  <w:style w:type="character" w:customStyle="1" w:styleId="ab">
    <w:name w:val="Основной текст Знак"/>
    <w:basedOn w:val="a0"/>
    <w:link w:val="aa"/>
    <w:semiHidden/>
    <w:rsid w:val="002023BE"/>
    <w:rPr>
      <w:rFonts w:ascii="Times New Roman" w:eastAsia="Arial" w:hAnsi="Times New Roman" w:cs="Tms Rm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8849">
                  <w:marLeft w:val="0"/>
                  <w:marRight w:val="0"/>
                  <w:marTop w:val="0"/>
                  <w:marBottom w:val="0"/>
                  <w:divBdr>
                    <w:top w:val="single" w:sz="6" w:space="4" w:color="D0D0D0"/>
                    <w:left w:val="single" w:sz="6" w:space="11" w:color="D0D0D0"/>
                    <w:bottom w:val="single" w:sz="6" w:space="11" w:color="D0D0D0"/>
                    <w:right w:val="single" w:sz="6" w:space="11" w:color="D0D0D0"/>
                  </w:divBdr>
                </w:div>
              </w:divsChild>
            </w:div>
            <w:div w:id="15865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1695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2021-02-11T13:12:00Z</dcterms:created>
  <dcterms:modified xsi:type="dcterms:W3CDTF">2021-02-11T13:16:00Z</dcterms:modified>
</cp:coreProperties>
</file>