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2C" w:rsidRPr="003F582C" w:rsidRDefault="003F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Ю. ,41 год, поступил с жалобами на к</w:t>
      </w:r>
      <w:r w:rsidRPr="003F582C">
        <w:rPr>
          <w:rFonts w:ascii="Times New Roman" w:hAnsi="Times New Roman" w:cs="Times New Roman"/>
          <w:sz w:val="28"/>
          <w:szCs w:val="28"/>
        </w:rPr>
        <w:t>ашель в течение дня с выделением желто-зеленого цвета мокроты Подъемы температуры тела до: 38,7 °С, в течение: в течение 4 дней, Слабость: умеренная, Утомляемость: при умеренных физических нагрузках умеренная, Потливость: по ночам, Заложенность носа, чувство заложенности в правом 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Анамнез заболевания</w:t>
            </w:r>
          </w:p>
          <w:p w:rsid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 с инфекционными больными отрицает. Переохлаждение отрицает. С 17.01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повышениние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тела до 38,7С. С 18.01 присоединился кашель с выделением мокроты коричневого цвета. Начал принимать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Ингавирин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Парацетамол. 20.01 обратился к фельдшеру по месту жительства. Выставлен диагноз ОРВИ. Была рекомендована местная терапия (отвары трав,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мирамистин</w:t>
            </w:r>
            <w:proofErr w:type="spellEnd"/>
            <w:proofErr w:type="gram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в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Емельяновскую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 Дообследован: ФЛГ-без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патологии.Был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 прием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Флемоксин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салютаб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1000мл 2 раза в сутки (принимал в течение 9 дней, на этом фоне сохранялась лихорадка до 38С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Лазолван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АЦЦ,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лазолван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називин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эффекта. 22.01 присоединилась заложенность ушей. Повторно поднялась Т тела до 38С. Обратился в ЦРБ повторно. Рекомендован прием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Кандибиотика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диоксидин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эффекта 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ЦРБ повторно 24.01. Новых рекомендаций не дали, лечение продолжал в полном объеме. С 24.01. по 28.01 максимальная Т тела 37,5, сохраняется кашель с выделением желтой мокроты, слабость, недомогание. 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самостоятельно обратился в ПО с вышеописанными жалобами.</w:t>
            </w:r>
          </w:p>
          <w:p w:rsidR="006E5E6B" w:rsidRDefault="003F582C" w:rsidP="006E5E6B">
            <w:pPr>
              <w:spacing w:before="100" w:beforeAutospacing="1" w:after="0" w:line="240" w:lineRule="auto"/>
            </w:pPr>
            <w:r w:rsidRPr="003F58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Анамнез жизни: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курит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 с больными туберкулёзом отрицает Последнее профилактическое R-исследование органов грудной клетки в мае-без патологии Пневмония в анамнезе отрицает Употребление наркотических средств отрицает 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гриппа, пневмококка не привит.</w:t>
            </w:r>
            <w:r w:rsidR="006E5E6B">
              <w:t xml:space="preserve"> </w:t>
            </w:r>
          </w:p>
          <w:p w:rsidR="006E5E6B" w:rsidRPr="006E5E6B" w:rsidRDefault="006E5E6B" w:rsidP="006E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E6B">
              <w:rPr>
                <w:rFonts w:ascii="Times New Roman" w:hAnsi="Times New Roman" w:cs="Times New Roman"/>
              </w:rPr>
              <w:t xml:space="preserve">Наследственный анамнез не отягощен </w:t>
            </w:r>
          </w:p>
          <w:p w:rsidR="006E5E6B" w:rsidRPr="006E5E6B" w:rsidRDefault="006E5E6B" w:rsidP="006E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E6B">
              <w:rPr>
                <w:rFonts w:ascii="Times New Roman" w:hAnsi="Times New Roman" w:cs="Times New Roman"/>
              </w:rPr>
              <w:t xml:space="preserve">Перенесенные заболевания и травмы операции гиперпластический лимфаденит 15 лет назад, неврит тройничного нерва 12 лет назад </w:t>
            </w:r>
          </w:p>
          <w:p w:rsidR="006E5E6B" w:rsidRPr="006E5E6B" w:rsidRDefault="006E5E6B" w:rsidP="006E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E6B">
              <w:rPr>
                <w:rFonts w:ascii="Times New Roman" w:hAnsi="Times New Roman" w:cs="Times New Roman"/>
              </w:rPr>
              <w:t>Эпиданамнез</w:t>
            </w:r>
            <w:proofErr w:type="spellEnd"/>
            <w:r w:rsidRPr="006E5E6B">
              <w:rPr>
                <w:rFonts w:ascii="Times New Roman" w:hAnsi="Times New Roman" w:cs="Times New Roman"/>
              </w:rPr>
              <w:t xml:space="preserve"> Контакты с инфекционными больными, </w:t>
            </w:r>
            <w:proofErr w:type="spellStart"/>
            <w:r w:rsidRPr="006E5E6B">
              <w:rPr>
                <w:rFonts w:ascii="Times New Roman" w:hAnsi="Times New Roman" w:cs="Times New Roman"/>
              </w:rPr>
              <w:t>tbc</w:t>
            </w:r>
            <w:proofErr w:type="spellEnd"/>
            <w:r w:rsidRPr="006E5E6B">
              <w:rPr>
                <w:rFonts w:ascii="Times New Roman" w:hAnsi="Times New Roman" w:cs="Times New Roman"/>
              </w:rPr>
              <w:t xml:space="preserve">, гепатит, ВИЧ, вен. заболевания, переливания крови отрицает </w:t>
            </w:r>
          </w:p>
          <w:p w:rsidR="006E5E6B" w:rsidRPr="006E5E6B" w:rsidRDefault="006E5E6B" w:rsidP="006E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E6B">
              <w:rPr>
                <w:rFonts w:ascii="Times New Roman" w:hAnsi="Times New Roman" w:cs="Times New Roman"/>
              </w:rPr>
              <w:t>Аллергологический</w:t>
            </w:r>
            <w:proofErr w:type="spellEnd"/>
            <w:r w:rsidRPr="006E5E6B">
              <w:rPr>
                <w:rFonts w:ascii="Times New Roman" w:hAnsi="Times New Roman" w:cs="Times New Roman"/>
              </w:rPr>
              <w:t xml:space="preserve"> анамнез без особенностей</w:t>
            </w:r>
          </w:p>
          <w:p w:rsidR="006E5E6B" w:rsidRPr="006E5E6B" w:rsidRDefault="006E5E6B" w:rsidP="006E5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ОБЪЕКТИВНЫЙ СТАТУС</w:t>
            </w:r>
          </w:p>
          <w:p w:rsidR="006E5E6B" w:rsidRPr="006E5E6B" w:rsidRDefault="006E5E6B" w:rsidP="006E5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средней тяжести, Сознание ясное, Положение активное, Телосложение </w:t>
            </w:r>
            <w:proofErr w:type="spellStart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нормостеническое</w:t>
            </w:r>
            <w:proofErr w:type="spellEnd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Питание удовлетворительное, Рост 165, Вес 85.0, ИМТ 31.2, Кожные покровы чистые, нормальной влажности, нормальной окраски, Слизистые нормальной влажности, чистые, Миндалины не увеличены, Лимфоузлы не увеличены, Суставы не изменены, Костно-мышечная система без видимых </w:t>
            </w:r>
            <w:proofErr w:type="spellStart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деформацмй</w:t>
            </w:r>
            <w:proofErr w:type="spellEnd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Отеки нет</w:t>
            </w:r>
          </w:p>
          <w:p w:rsidR="006E5E6B" w:rsidRPr="006E5E6B" w:rsidRDefault="006E5E6B" w:rsidP="006E5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дыхания: </w:t>
            </w:r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Носовое дыхание затруднено, Грудная клетка правильной формы, В дыхании участвуют обе половины грудной клетки равномерно, </w:t>
            </w:r>
            <w:proofErr w:type="spellStart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Перкуторный</w:t>
            </w:r>
            <w:proofErr w:type="spellEnd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укорочен над нижними отделами слева, Голосовое дрожание проводится равномерно над всеми легочными полями, Дыхание везикулярное, Хрипы инспираторные над нижними отделами слева, Число дыханий в минуту 18, Сатурация О2 98 %.</w:t>
            </w:r>
          </w:p>
          <w:p w:rsidR="006E5E6B" w:rsidRPr="006E5E6B" w:rsidRDefault="006E5E6B" w:rsidP="006E5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Сердечно-сосудистая система: </w:t>
            </w:r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сердца не изменена, Границы сердца правая на 1 см вправо от грудины, верхняя по верхнему краю III ребра, левая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</w:t>
            </w:r>
            <w:proofErr w:type="gramEnd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кнутри</w:t>
            </w:r>
            <w:proofErr w:type="spellEnd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срединно ключичной линии, Тоны сердца ритмичные, ясные, Шумы в сердце не выслушиваются, ЧСС 80 уд/мин, АД 140\90 мм рт. ст.</w:t>
            </w:r>
          </w:p>
          <w:p w:rsidR="003F582C" w:rsidRPr="003F582C" w:rsidRDefault="006E5E6B" w:rsidP="006E5E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пищеварения: </w:t>
            </w:r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чистый, Живот мягкий, безболезненный, Печень безболезненная, по реберному краю, Органы мочевыделения Симптом XII ребра отрицательный с обеих сторон, </w:t>
            </w:r>
            <w:proofErr w:type="spellStart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Дизурические</w:t>
            </w:r>
            <w:proofErr w:type="spellEnd"/>
            <w:r w:rsidRPr="006E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 отрицает</w:t>
            </w:r>
          </w:p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ЛАБОРАТОРНАЯ ДИАГНОСТИКА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  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отрицательная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Гематологические исследования / 29.01.20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Общий анализ крови на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гем.анализаторе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машинной формулой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400" w:type="pct"/>
                  <w:gridSpan w:val="1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Наименование анализатора:</w:t>
                  </w:r>
                </w:p>
              </w:tc>
              <w:tc>
                <w:tcPr>
                  <w:tcW w:w="3600" w:type="pct"/>
                  <w:gridSpan w:val="36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Sysmex</w:t>
                  </w:r>
                  <w:proofErr w:type="spellEnd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XT2000i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WBC Лейкоциты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12.84 </w:t>
                  </w: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(4.00 - 9.00)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RBC Эритроциты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4.78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12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(4.00 - 5.00)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HGB Гемоглобин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133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(130 - 160)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HCT Гематокрит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40.7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(40.0 - 48.0)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MCV Средний объем эритроцитов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85.1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(80.0 - 100.0)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 Среднее содержание гемоглобина в </w:t>
                  </w: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27.8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пг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(27.0 - 31.0)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MCHC Средняя концентрация гемоглобина в </w:t>
                  </w: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327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(300 - 380)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RDW-SD </w:t>
                  </w: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Станд.отклонение</w:t>
                  </w:r>
                  <w:proofErr w:type="spellEnd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размера </w:t>
                  </w: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. от </w:t>
                  </w: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сред.зн</w:t>
                  </w:r>
                  <w:proofErr w:type="spellEnd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37.7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(35.0 - 46.0)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PLT Тромбоциты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399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(150 - 420)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3100" w:type="pct"/>
                  <w:gridSpan w:val="3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PCT </w:t>
                  </w: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Тромбокрит</w:t>
                  </w:r>
                  <w:proofErr w:type="spellEnd"/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0.330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(0.150 - 0.400)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pct"/>
                  <w:gridSpan w:val="16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относительные</w:t>
                  </w:r>
                </w:p>
              </w:tc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абсолютные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Нейтрофилы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68.8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(50.0 - 70.0)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8.83 </w:t>
                  </w: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(2.00 - 7.00)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Лимфоциты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21.70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(19.00 - 37.00)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2.8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*10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(1.2 - 3.0)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Моноциты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7.40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(3.00 - 13.00)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0.95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(0.20 - 1.00)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Эозинофилы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2.00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(0.50 - 5.00)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0.26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(0.00 - 0.50)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Базофилы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0.10</w:t>
                  </w:r>
                </w:p>
              </w:tc>
              <w:tc>
                <w:tcPr>
                  <w:tcW w:w="200" w:type="pct"/>
                  <w:gridSpan w:val="2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00" w:type="pct"/>
                  <w:gridSpan w:val="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(0.00 - 1.00)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(0.00 - 0.20)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Незрелые гранулоциты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0.2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0.03</w:t>
                  </w:r>
                </w:p>
              </w:tc>
              <w:tc>
                <w:tcPr>
                  <w:tcW w:w="1500" w:type="pct"/>
                  <w:gridSpan w:val="15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Скорость оседания эритроцитов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47 </w:t>
                  </w: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мм/час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(2 - 10)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/ 29.01.20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Исследование уровня билирубина и его фракций в крови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23.20 </w:t>
                  </w: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(1.70 - 20.00)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4.80 </w:t>
                  </w: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(0.00 - 4.60)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Билирубин непрямой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18.40</w:t>
                  </w:r>
                </w:p>
              </w:tc>
              <w:tc>
                <w:tcPr>
                  <w:tcW w:w="2100" w:type="pct"/>
                  <w:gridSpan w:val="2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/ 29.01.20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С-реактивный белок (СРБ)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19.20 </w:t>
                  </w:r>
                  <w:r w:rsidRPr="003F582C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(0.00 - 5.00)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74.10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(65.00 - 85.00)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/ 29.01.20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Мочевина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5.80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(1.70 - 8.30)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(74 - 110)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Глюкоза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5.93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(4.20 - 6.10)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АЛТ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35.5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(0.0 - 45.0)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АСТ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21.3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(0.0 - 35.0)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3F582C" w:rsidRPr="003F582C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Калий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3.82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(3.50 - 5.10)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Натрий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(136 - 146)</w:t>
                  </w:r>
                </w:p>
              </w:tc>
            </w:tr>
            <w:tr w:rsidR="003F582C" w:rsidRPr="003F582C">
              <w:trPr>
                <w:tblCellSpacing w:w="0" w:type="dxa"/>
              </w:trPr>
              <w:tc>
                <w:tcPr>
                  <w:tcW w:w="1900" w:type="pct"/>
                  <w:gridSpan w:val="19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Хлор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ммоль</w:t>
                  </w:r>
                  <w:proofErr w:type="spellEnd"/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100" w:type="pct"/>
                  <w:gridSpan w:val="11"/>
                  <w:hideMark/>
                </w:tcPr>
                <w:p w:rsidR="003F582C" w:rsidRPr="003F582C" w:rsidRDefault="003F582C" w:rsidP="003F582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8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(98 - 106)</w:t>
                  </w:r>
                </w:p>
              </w:tc>
            </w:tr>
          </w:tbl>
          <w:p w:rsidR="003F582C" w:rsidRPr="003F582C" w:rsidRDefault="003F582C" w:rsidP="003F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 ОРГАНОВ ГРУДНОЙ ПОЛОСТИ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СЕВКАВРЕНТГЕН-Д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проекции: прямая, боковая; вид исследования: цифровое; количество процедур (снимков): 2 эффективная доза: измеренная 0,6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расправлены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Пневматизация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ткани: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слабоинтенсивно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снижена в нижней доле левого легкого, вероятно за счет инфильтрации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Легочный 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Корни 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Диафрагма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куполы</w:t>
            </w:r>
            <w:proofErr w:type="spell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четкие ровные, высота стояния соответствует конституциональному типу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Тень 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средостения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смещена</w:t>
            </w:r>
          </w:p>
        </w:tc>
      </w:tr>
      <w:tr w:rsidR="003F582C" w:rsidRPr="003F582C" w:rsidTr="003F582C">
        <w:trPr>
          <w:tblCellSpacing w:w="0" w:type="dxa"/>
        </w:trPr>
        <w:tc>
          <w:tcPr>
            <w:tcW w:w="5000" w:type="pct"/>
            <w:hideMark/>
          </w:tcPr>
          <w:p w:rsidR="003F582C" w:rsidRPr="003F582C" w:rsidRDefault="003F582C" w:rsidP="003F58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Плевральные </w:t>
            </w:r>
            <w:proofErr w:type="gramStart"/>
            <w:r w:rsidRPr="003F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полости </w:t>
            </w:r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F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</w:t>
            </w:r>
          </w:p>
        </w:tc>
      </w:tr>
    </w:tbl>
    <w:p w:rsidR="00670B41" w:rsidRDefault="00670B41"/>
    <w:p w:rsidR="008712A6" w:rsidRDefault="008712A6" w:rsidP="008712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8712A6" w:rsidRDefault="008712A6" w:rsidP="008712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диагноз.</w:t>
      </w:r>
    </w:p>
    <w:p w:rsidR="008712A6" w:rsidRDefault="008712A6" w:rsidP="008712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8712A6" w:rsidRDefault="008712A6" w:rsidP="008712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p w:rsidR="008712A6" w:rsidRDefault="008712A6">
      <w:bookmarkStart w:id="0" w:name="_GoBack"/>
      <w:bookmarkEnd w:id="0"/>
    </w:p>
    <w:sectPr w:rsidR="008712A6" w:rsidSect="003F582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A7"/>
    <w:rsid w:val="003F582C"/>
    <w:rsid w:val="00670B41"/>
    <w:rsid w:val="006E5E6B"/>
    <w:rsid w:val="008712A6"/>
    <w:rsid w:val="00E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4CD9-80C6-4AC3-B9F4-9634B0C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3</cp:revision>
  <dcterms:created xsi:type="dcterms:W3CDTF">2020-04-24T07:20:00Z</dcterms:created>
  <dcterms:modified xsi:type="dcterms:W3CDTF">2020-04-24T07:39:00Z</dcterms:modified>
</cp:coreProperties>
</file>