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2" w:rsidRP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F2B63" w:rsidRP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0F2B6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0F2B63">
        <w:rPr>
          <w:rFonts w:ascii="Times New Roman" w:hAnsi="Times New Roman" w:cs="Times New Roman"/>
          <w:sz w:val="24"/>
          <w:szCs w:val="24"/>
        </w:rPr>
        <w:t>»</w:t>
      </w:r>
    </w:p>
    <w:p w:rsidR="000F2B63" w:rsidRP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 xml:space="preserve">(ФГБОУ ВО </w:t>
      </w:r>
      <w:proofErr w:type="spellStart"/>
      <w:r w:rsidRPr="000F2B63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0F2B63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0F2B6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0F2B63">
        <w:rPr>
          <w:rFonts w:ascii="Times New Roman" w:hAnsi="Times New Roman" w:cs="Times New Roman"/>
          <w:sz w:val="24"/>
          <w:szCs w:val="24"/>
        </w:rPr>
        <w:t xml:space="preserve"> Минздрава России)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онкологии и лучевой терапии с курсом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Pr="00036574" w:rsidRDefault="000F2B63" w:rsidP="000F2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74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Pr="00036574" w:rsidRDefault="000F2B63" w:rsidP="000F2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574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036574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036574">
        <w:rPr>
          <w:rFonts w:ascii="Times New Roman" w:hAnsi="Times New Roman" w:cs="Times New Roman"/>
          <w:sz w:val="28"/>
          <w:szCs w:val="28"/>
        </w:rPr>
        <w:t xml:space="preserve"> поддержка онкологических больных»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ординатуры, к.м.н., доцент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ГАВРИЛЮК ДМИТРИЙ ВЛАДИМИРОВИЧ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ординатор 1 года обучения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онкология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ОЮН АЙЛАНА ОЛЕГОВНА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 2021</w:t>
      </w:r>
    </w:p>
    <w:p w:rsidR="007D14A7" w:rsidRPr="00E35854" w:rsidRDefault="002A65CA" w:rsidP="007D1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7D14A7" w:rsidRPr="00E35854">
        <w:rPr>
          <w:rFonts w:ascii="Times New Roman" w:hAnsi="Times New Roman" w:cs="Times New Roman"/>
          <w:sz w:val="24"/>
          <w:szCs w:val="24"/>
        </w:rPr>
        <w:t>:</w:t>
      </w:r>
    </w:p>
    <w:p w:rsidR="007D14A7" w:rsidRPr="00E35854" w:rsidRDefault="007D14A7" w:rsidP="0003657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>1.</w:t>
      </w:r>
      <w:r w:rsidR="00036574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7D14A7" w:rsidRPr="00E35854" w:rsidRDefault="007D14A7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>2.</w:t>
      </w:r>
      <w:r w:rsidR="00036574">
        <w:rPr>
          <w:rFonts w:ascii="Times New Roman" w:hAnsi="Times New Roman" w:cs="Times New Roman"/>
          <w:sz w:val="24"/>
          <w:szCs w:val="24"/>
        </w:rPr>
        <w:t xml:space="preserve"> </w:t>
      </w:r>
      <w:r w:rsidR="00036574" w:rsidRPr="00E35854">
        <w:rPr>
          <w:rFonts w:ascii="Times New Roman" w:hAnsi="Times New Roman" w:cs="Times New Roman"/>
          <w:sz w:val="24"/>
          <w:szCs w:val="24"/>
        </w:rPr>
        <w:t>ЦЕЛИ НУТРИТИВНОЙ ПОДДЕРЖКИ У ОНКОЛОГИЧЕСКИХ БОЛЬНЫХ</w:t>
      </w:r>
    </w:p>
    <w:p w:rsidR="007D14A7" w:rsidRPr="00E35854" w:rsidRDefault="007D14A7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>3.</w:t>
      </w:r>
      <w:r w:rsidR="00036574">
        <w:rPr>
          <w:rFonts w:ascii="Times New Roman" w:hAnsi="Times New Roman" w:cs="Times New Roman"/>
          <w:sz w:val="24"/>
          <w:szCs w:val="24"/>
        </w:rPr>
        <w:t xml:space="preserve"> </w:t>
      </w:r>
      <w:r w:rsidR="00036574" w:rsidRPr="00E35854">
        <w:rPr>
          <w:rFonts w:ascii="Times New Roman" w:hAnsi="Times New Roman" w:cs="Times New Roman"/>
          <w:sz w:val="24"/>
          <w:szCs w:val="24"/>
        </w:rPr>
        <w:t>ПРИНЦИПЫ ПРОВЕДЕНИЯ НУТРИТИВНОЙ ПОДДЕРЖКИ В ОНКОЛОГИИ</w:t>
      </w:r>
    </w:p>
    <w:p w:rsidR="007D14A7" w:rsidRPr="00E35854" w:rsidRDefault="00036574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35854">
        <w:rPr>
          <w:rFonts w:ascii="Times New Roman" w:hAnsi="Times New Roman" w:cs="Times New Roman"/>
          <w:sz w:val="24"/>
          <w:szCs w:val="24"/>
        </w:rPr>
        <w:t>ПОКАЗАНИЯ К НУТРИТИВНОЙ ПОДДЕРЖКЕ</w:t>
      </w:r>
    </w:p>
    <w:p w:rsidR="00E35854" w:rsidRDefault="00036574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65CA">
        <w:rPr>
          <w:rFonts w:ascii="Times New Roman" w:hAnsi="Times New Roman" w:cs="Times New Roman"/>
          <w:sz w:val="24"/>
          <w:szCs w:val="24"/>
        </w:rPr>
        <w:t xml:space="preserve"> </w:t>
      </w:r>
      <w:r w:rsidR="002A65CA" w:rsidRPr="00E86DAD">
        <w:rPr>
          <w:rFonts w:ascii="Times New Roman" w:hAnsi="Times New Roman" w:cs="Times New Roman"/>
          <w:sz w:val="24"/>
          <w:szCs w:val="24"/>
        </w:rPr>
        <w:t>ВИДЫ НУТРИТИВНОЙ ПОДДЕРЖКИ ОНКОЛОГИЧЕСКИХ БОЛЬНЫХ</w:t>
      </w:r>
    </w:p>
    <w:p w:rsidR="00036574" w:rsidRDefault="00036574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65CA">
        <w:rPr>
          <w:rFonts w:ascii="Times New Roman" w:hAnsi="Times New Roman" w:cs="Times New Roman"/>
          <w:sz w:val="24"/>
          <w:szCs w:val="24"/>
        </w:rPr>
        <w:t xml:space="preserve"> </w:t>
      </w:r>
      <w:r w:rsidR="002A65CA" w:rsidRPr="00E86DAD">
        <w:rPr>
          <w:rFonts w:ascii="Times New Roman" w:hAnsi="Times New Roman" w:cs="Times New Roman"/>
          <w:sz w:val="24"/>
          <w:szCs w:val="24"/>
        </w:rPr>
        <w:t>НУТРИТИВНАЯ ПОДДЕРЖКА В ОНКОХИРУРГИИ</w:t>
      </w:r>
    </w:p>
    <w:p w:rsidR="00036574" w:rsidRDefault="00036574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A65CA">
        <w:rPr>
          <w:rFonts w:ascii="Times New Roman" w:hAnsi="Times New Roman" w:cs="Times New Roman"/>
          <w:sz w:val="24"/>
          <w:szCs w:val="24"/>
        </w:rPr>
        <w:t xml:space="preserve"> </w:t>
      </w:r>
      <w:r w:rsidR="002A65CA" w:rsidRPr="00902571">
        <w:rPr>
          <w:rFonts w:ascii="Times New Roman" w:hAnsi="Times New Roman" w:cs="Times New Roman"/>
          <w:sz w:val="24"/>
          <w:szCs w:val="24"/>
        </w:rPr>
        <w:t>НУТРИТИВНАЯ ПОДДЕРЖКА ПРИ ХИМИОТЕРАПИИ И ЛУЧЕВОЙ ТЕРАПИИ</w:t>
      </w:r>
    </w:p>
    <w:p w:rsidR="00036574" w:rsidRDefault="00036574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A65CA">
        <w:rPr>
          <w:rFonts w:ascii="Times New Roman" w:hAnsi="Times New Roman" w:cs="Times New Roman"/>
          <w:sz w:val="24"/>
          <w:szCs w:val="24"/>
        </w:rPr>
        <w:t xml:space="preserve"> </w:t>
      </w:r>
      <w:r w:rsidR="002A65CA" w:rsidRPr="00023D1C">
        <w:rPr>
          <w:rFonts w:ascii="Times New Roman" w:hAnsi="Times New Roman" w:cs="Times New Roman"/>
          <w:sz w:val="24"/>
          <w:szCs w:val="24"/>
        </w:rPr>
        <w:t>МОНИТОРИНГ ЭФФЕКТИВНОСТИ НУТРИТИВНОЙ ПОДДЕРЖКИ</w:t>
      </w:r>
    </w:p>
    <w:p w:rsidR="00036574" w:rsidRDefault="00036574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A65CA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036574" w:rsidRPr="00E35854" w:rsidRDefault="00036574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A65CA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</w:p>
    <w:p w:rsidR="00E35854" w:rsidRPr="00E35854" w:rsidRDefault="00E35854" w:rsidP="007D1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5854" w:rsidRPr="00E35854" w:rsidRDefault="00E35854" w:rsidP="007D1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5854" w:rsidRPr="00E35854" w:rsidRDefault="00E35854" w:rsidP="007D1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5854" w:rsidRPr="00E35854" w:rsidRDefault="00036574" w:rsidP="00E3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5854">
        <w:rPr>
          <w:rFonts w:ascii="Times New Roman" w:hAnsi="Times New Roman" w:cs="Times New Roman"/>
          <w:sz w:val="24"/>
          <w:szCs w:val="24"/>
        </w:rPr>
        <w:t>Нутритивная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поддержка – это процесс обеспечения полноценного питания больных с использованием специальных средств, максимально сбалансированных в количественном и качественном соотношении.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Нутритивная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поддержка необходима онкологическим больным не только для поддержания метаболических резервов организма, но и для повышения его устойчивости к лечению (хирургическому, лекарственному, лучевому).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</w:p>
    <w:p w:rsidR="00E35854" w:rsidRPr="00E35854" w:rsidRDefault="00036574" w:rsidP="00E3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854" w:rsidRPr="00E35854">
        <w:rPr>
          <w:rFonts w:ascii="Times New Roman" w:hAnsi="Times New Roman" w:cs="Times New Roman"/>
          <w:sz w:val="24"/>
          <w:szCs w:val="24"/>
        </w:rPr>
        <w:t xml:space="preserve">. ЦЕЛИ НУТРИТИВНОЙ ПОДДЕРЖКИ У ОНКОЛОГИЧЕСКИХ БОЛЬНЫХ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 xml:space="preserve">• Поддержание оптимальной массы тела.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>• Предотвращение или коррекция дефицита макр</w:t>
      </w:r>
      <w:proofErr w:type="gramStart"/>
      <w:r w:rsidRPr="00E358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5854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микронутриентов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 xml:space="preserve">• Повышение переносимости противоопухолевой терапии.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 xml:space="preserve">• Снижение выраженности побочных эффектов ХТ и ЛТ.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>• Повышение уровня качества жизни.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</w:p>
    <w:p w:rsidR="00E35854" w:rsidRPr="00E35854" w:rsidRDefault="00036574" w:rsidP="00E3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854" w:rsidRPr="00E35854">
        <w:rPr>
          <w:rFonts w:ascii="Times New Roman" w:hAnsi="Times New Roman" w:cs="Times New Roman"/>
          <w:sz w:val="24"/>
          <w:szCs w:val="24"/>
        </w:rPr>
        <w:t xml:space="preserve">. ПРИНЦИПЫ ПРОВЕДЕНИЯ НУТРИТИВНОЙ ПОДДЕРЖКИ В ОНКОЛОГИИ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 xml:space="preserve">Неадекватный приём пищи у онкологических больных встречается сравнительно часто и, как правило, ассоциирован с существенной потерей массы тела. Неадекватным </w:t>
      </w:r>
      <w:r w:rsidRPr="00E35854">
        <w:rPr>
          <w:rFonts w:ascii="Times New Roman" w:hAnsi="Times New Roman" w:cs="Times New Roman"/>
          <w:sz w:val="24"/>
          <w:szCs w:val="24"/>
        </w:rPr>
        <w:lastRenderedPageBreak/>
        <w:t xml:space="preserve">следует считать питание, при котором пациент не может сам обеспечить поступление более 60 % от своих энергетических потребностей в течение 1–2 недель. Потеря мышечной массы характерна для онкологического процесса и вносит значимый вклад в снижение физической активности и переносимости лечебных методов. У пациентов с высоким риском развития питательной недостаточности целесообразно увеличивать объём принимаемой через рот пищи путём подбора диеты и / или назначения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пероральных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энтеральных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диет.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 xml:space="preserve">При наличии показаний к проведению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поддержки предпочтительным методом является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питание. В том случае, если проведение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питания невозможно или неэффективно, необходимо назначать парентеральное питание. Доставка белка должна быть не менее 1 г / кг / 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>., но при возможности если это возможно, то нужно стремиться к 1,5 г / кг / 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>. У больных с сопутствующей хронической почечной недостаточностью белковое обеспечение не должно превышать 1–1,2 г / кг / 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>. Энергетическое обеспечение больного с онкологическим заболеванием следует поддерживать на уровне 20–30 ккал / кг / 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>.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</w:p>
    <w:p w:rsidR="00E35854" w:rsidRPr="00E35854" w:rsidRDefault="00036574" w:rsidP="00E3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5854" w:rsidRPr="00E35854">
        <w:rPr>
          <w:rFonts w:ascii="Times New Roman" w:hAnsi="Times New Roman" w:cs="Times New Roman"/>
          <w:sz w:val="24"/>
          <w:szCs w:val="24"/>
        </w:rPr>
        <w:t xml:space="preserve">. ПОКАЗАНИЯ К НУТРИТИВНОЙ ПОДДЕРЖКЕ </w:t>
      </w:r>
    </w:p>
    <w:p w:rsidR="00E35854" w:rsidRPr="00E35854" w:rsidRDefault="00E35854" w:rsidP="00E3585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>Для диагностики степени недостаточности питания предложено много критериев. Однако</w:t>
      </w:r>
      <w:proofErr w:type="gramStart"/>
      <w:r w:rsidRPr="00E358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5854">
        <w:rPr>
          <w:rFonts w:ascii="Times New Roman" w:hAnsi="Times New Roman" w:cs="Times New Roman"/>
          <w:sz w:val="24"/>
          <w:szCs w:val="24"/>
        </w:rPr>
        <w:t xml:space="preserve"> первым этапом является скрининг недостаточности питания, который должен проводиться на протяжении всего времени лечения онкологического больного. Своевременное выявление пациентов из группы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риска позволяет защитить пациента от прогрессирующей потери массы тела и развития рефрактерной кахексии. Для первичного скрининга наиболее удобно использовать хорошо зарекомендовавшие себя шкалы, такие как NRS-2002 (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854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E35854">
        <w:rPr>
          <w:rFonts w:ascii="Times New Roman" w:hAnsi="Times New Roman" w:cs="Times New Roman"/>
          <w:sz w:val="24"/>
          <w:szCs w:val="24"/>
        </w:rPr>
        <w:t>). Этапы оценки риска недостаточного питания представлены в табл. 1, 2, 3.</w:t>
      </w:r>
    </w:p>
    <w:p w:rsidR="00E35854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4892" cy="3581400"/>
            <wp:effectExtent l="19050" t="0" r="0" b="0"/>
            <wp:docPr id="1" name="Рисунок 1" descr="C:\Users\user\Pictures\fRuD1Qs2x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RuD1Qs2xo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54" cy="357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54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15434"/>
            <wp:effectExtent l="19050" t="0" r="3175" b="0"/>
            <wp:docPr id="3" name="Рисунок 2" descr="C:\Users\user\Pictures\GYFdvKl6S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YFdvKl6S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54" w:rsidRPr="00E86DAD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При планировании серьёзной операции необходимо соблюдать план профилактического питания.</w:t>
      </w:r>
    </w:p>
    <w:p w:rsidR="00E35854" w:rsidRPr="00E86DAD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35854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854" w:rsidRPr="00E86DAD">
        <w:rPr>
          <w:rFonts w:ascii="Times New Roman" w:hAnsi="Times New Roman" w:cs="Times New Roman"/>
          <w:sz w:val="24"/>
          <w:szCs w:val="24"/>
        </w:rPr>
        <w:t xml:space="preserve">. ВИДЫ НУТРИТИВНОЙ ПОДДЕРЖКИ ОНКОЛОГИЧЕСКИХ БОЛЬНЫХ </w:t>
      </w:r>
    </w:p>
    <w:p w:rsidR="00CF30A5" w:rsidRPr="00E86DAD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Выделяют три вида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поддержки: </w:t>
      </w:r>
    </w:p>
    <w:p w:rsidR="00CF30A5" w:rsidRPr="00E86DAD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lastRenderedPageBreak/>
        <w:t>• дополнение к 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пероральному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питанию (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сипинг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пероральный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приём лечебного (специализированного) питания маленькими глотками); </w:t>
      </w:r>
    </w:p>
    <w:p w:rsidR="00CF30A5" w:rsidRPr="00E86DAD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питание (через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назоинтестинальный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зонд, через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стому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чрескожную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6DAD">
        <w:rPr>
          <w:rFonts w:ascii="Times New Roman" w:hAnsi="Times New Roman" w:cs="Times New Roman"/>
          <w:sz w:val="24"/>
          <w:szCs w:val="24"/>
        </w:rPr>
        <w:t>эндоскопическую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лапароскопическую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лапаротомную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)); </w:t>
      </w:r>
    </w:p>
    <w:p w:rsidR="00E35854" w:rsidRPr="00E86DAD" w:rsidRDefault="00E3585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парентеральное питание.</w:t>
      </w: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CF30A5" w:rsidRPr="00E86DAD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CF30A5" w:rsidRPr="00E86DAD">
        <w:rPr>
          <w:rFonts w:ascii="Times New Roman" w:hAnsi="Times New Roman" w:cs="Times New Roman"/>
          <w:sz w:val="24"/>
          <w:szCs w:val="24"/>
        </w:rPr>
        <w:t xml:space="preserve"> питание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Является предпочтительным способом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поддержки, так как оно физиологично, обеспечивает поддержание структуры и функции кишечника, уменьшает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гиперметаболический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ответ на повреждение, уменьшает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транслокацию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бактерий и токсинов из кишечника, экономичнее. </w:t>
      </w: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 xml:space="preserve">.1.1. </w:t>
      </w:r>
      <w:proofErr w:type="spellStart"/>
      <w:r w:rsidR="00CF30A5" w:rsidRPr="00E86DAD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CF30A5" w:rsidRPr="00E86DAD">
        <w:rPr>
          <w:rFonts w:ascii="Times New Roman" w:hAnsi="Times New Roman" w:cs="Times New Roman"/>
          <w:sz w:val="24"/>
          <w:szCs w:val="24"/>
        </w:rPr>
        <w:t xml:space="preserve"> питание может проводиться в следующих случаях: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наличие хотя бы частичной функции ЖКТ;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возможность установки зонда или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Отсутствие выслушиваемой перистальтики не является противопоказанием для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 xml:space="preserve">.1.2. Выбор способа </w:t>
      </w:r>
      <w:proofErr w:type="spellStart"/>
      <w:r w:rsidR="00CF30A5" w:rsidRPr="00E86DAD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="00CF30A5" w:rsidRPr="00E86DAD">
        <w:rPr>
          <w:rFonts w:ascii="Times New Roman" w:hAnsi="Times New Roman" w:cs="Times New Roman"/>
          <w:sz w:val="24"/>
          <w:szCs w:val="24"/>
        </w:rPr>
        <w:t xml:space="preserve"> питания зависит от </w:t>
      </w:r>
      <w:proofErr w:type="spellStart"/>
      <w:r w:rsidR="00CF30A5" w:rsidRPr="00E86DAD">
        <w:rPr>
          <w:rFonts w:ascii="Times New Roman" w:hAnsi="Times New Roman" w:cs="Times New Roman"/>
          <w:sz w:val="24"/>
          <w:szCs w:val="24"/>
        </w:rPr>
        <w:t>следущих</w:t>
      </w:r>
      <w:proofErr w:type="spellEnd"/>
      <w:r w:rsidR="00CF30A5" w:rsidRPr="00E86DAD">
        <w:rPr>
          <w:rFonts w:ascii="Times New Roman" w:hAnsi="Times New Roman" w:cs="Times New Roman"/>
          <w:sz w:val="24"/>
          <w:szCs w:val="24"/>
        </w:rPr>
        <w:t xml:space="preserve"> факторов: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 • функция ЖКТ;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риск аспирации;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предполагаемая длительность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питания.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При предполагаемой длительности питания до 30 дней предпочтительна установка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назогастрального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назоинтестинальный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зонда, более 30 дней – наложение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гастр</w:t>
      </w:r>
      <w:proofErr w:type="gramStart"/>
      <w:r w:rsidRPr="00E86DA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еюностомы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 xml:space="preserve">.1.3. Классификация смесей для </w:t>
      </w:r>
      <w:proofErr w:type="spellStart"/>
      <w:r w:rsidR="00CF30A5" w:rsidRPr="00E86DAD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="00CF30A5" w:rsidRPr="00E86DAD">
        <w:rPr>
          <w:rFonts w:ascii="Times New Roman" w:hAnsi="Times New Roman" w:cs="Times New Roman"/>
          <w:sz w:val="24"/>
          <w:szCs w:val="24"/>
        </w:rPr>
        <w:t xml:space="preserve"> питания: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полимерные: состоят из неизмененных белков, жиров и углеводов;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олигомерные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(полуэлементные): состоят из расщеплённых белков и простых углеводов и содержат масла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среднецепочечных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триглцеридов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смеси для определённых состояний, изготовленные с учётом потребностей конкретного пациента, страдающего тем или иным заболеванием (сахарный диабет, заболевания почек, печени, лёгких). </w:t>
      </w: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>.1.4. Противопоказания к </w:t>
      </w:r>
      <w:proofErr w:type="spellStart"/>
      <w:r w:rsidR="00CF30A5" w:rsidRPr="00E86DAD">
        <w:rPr>
          <w:rFonts w:ascii="Times New Roman" w:hAnsi="Times New Roman" w:cs="Times New Roman"/>
          <w:sz w:val="24"/>
          <w:szCs w:val="24"/>
        </w:rPr>
        <w:t>энтеральному</w:t>
      </w:r>
      <w:proofErr w:type="spellEnd"/>
      <w:r w:rsidR="00CF30A5" w:rsidRPr="00E86DAD">
        <w:rPr>
          <w:rFonts w:ascii="Times New Roman" w:hAnsi="Times New Roman" w:cs="Times New Roman"/>
          <w:sz w:val="24"/>
          <w:szCs w:val="24"/>
        </w:rPr>
        <w:t xml:space="preserve"> питанию: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механическая кишечная непроходимость;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выраженная тошнота и рвота, не купирующаяся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антиэметической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терапией;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гипоксия (раО</w:t>
      </w:r>
      <w:proofErr w:type="gramStart"/>
      <w:r w:rsidRPr="00E86D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>  </w:t>
      </w:r>
      <w:r w:rsidR="00E86DAD" w:rsidRPr="00E86DAD">
        <w:rPr>
          <w:rFonts w:ascii="Times New Roman" w:hAnsi="Times New Roman" w:cs="Times New Roman"/>
          <w:sz w:val="24"/>
          <w:szCs w:val="24"/>
        </w:rPr>
        <w:t>&lt;6</w:t>
      </w:r>
      <w:r w:rsidRPr="00E86DAD">
        <w:rPr>
          <w:rFonts w:ascii="Times New Roman" w:hAnsi="Times New Roman" w:cs="Times New Roman"/>
          <w:sz w:val="24"/>
          <w:szCs w:val="24"/>
        </w:rPr>
        <w:t>0 мм 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. ст.)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lastRenderedPageBreak/>
        <w:t>• дыхательный и метаболический ацидоз (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рНарт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.  </w:t>
      </w:r>
      <w:r w:rsidR="00E86DAD" w:rsidRPr="00E86DAD">
        <w:rPr>
          <w:rFonts w:ascii="Times New Roman" w:hAnsi="Times New Roman" w:cs="Times New Roman"/>
          <w:sz w:val="24"/>
          <w:szCs w:val="24"/>
        </w:rPr>
        <w:t xml:space="preserve">&lt;7,2 </w:t>
      </w:r>
      <w:proofErr w:type="spellStart"/>
      <w:r w:rsidR="00E86DAD" w:rsidRPr="00E86DA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86DAD" w:rsidRPr="00E86DAD">
        <w:rPr>
          <w:rFonts w:ascii="Times New Roman" w:hAnsi="Times New Roman" w:cs="Times New Roman"/>
          <w:sz w:val="24"/>
          <w:szCs w:val="24"/>
        </w:rPr>
        <w:t>/л; раСО</w:t>
      </w:r>
      <w:proofErr w:type="gramStart"/>
      <w:r w:rsidR="00E86DAD" w:rsidRPr="00E86D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86DAD" w:rsidRPr="00E86DAD">
        <w:rPr>
          <w:rFonts w:ascii="Times New Roman" w:hAnsi="Times New Roman" w:cs="Times New Roman"/>
          <w:sz w:val="24"/>
          <w:szCs w:val="24"/>
        </w:rPr>
        <w:t>&gt;70</w:t>
      </w:r>
      <w:r w:rsidRPr="00E86DAD">
        <w:rPr>
          <w:rFonts w:ascii="Times New Roman" w:hAnsi="Times New Roman" w:cs="Times New Roman"/>
          <w:sz w:val="24"/>
          <w:szCs w:val="24"/>
        </w:rPr>
        <w:t> мм 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. ст.).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 xml:space="preserve">.2. Парентеральное питание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6DAD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 xml:space="preserve"> организму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нутриенты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вводятся непосредственно в кровь. Основными составляющими парентерального питания являются: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источники энергии: 10–20 % растворы углеводов, жировые эмульсии;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источники пластического материала: растворы кристаллических аминокислот;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поливитаминные комплексы для парентерального введения: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препараты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витаминов;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препараты жирорастворимых витаминов;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препараты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- и жирорастворимых витаминов;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комплексы микроэлементов для парентерального введения. </w:t>
      </w: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 xml:space="preserve">.2.1. Системы парентерального питания: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«модульная» – использование флаконов с аминокислотами, глюкозой, жировыми эмульсиями; недостатками данного метода являются различная скорость введения препаратов, нагрузка на медперсонал при замене флаконов, более низкая антисептическая защита;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система «Всё в одном» предполагает использование двух- и трёхкомпонентных контейнеров для парентерального питания, в которых уже подобраны необходимые количества и 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верные соотношения аминокислот, глюкозы, липидов и электролитов, имеет ряд принципиальных преимуществ перед использованием изолированной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макронутриентов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высокая технологичность, удобство и простота применения;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одновременное и безопасное введение всех необходимых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нутриентов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– сбалансированный состав;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снижение риска инфекционных осложнений;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возможность добавлять </w:t>
      </w:r>
      <w:proofErr w:type="gramStart"/>
      <w:r w:rsidRPr="00E86DAD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микронутриенты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витаминымикроэлементы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– экономически менее затратная технология по сравнению с флаконной методикой. </w:t>
      </w:r>
    </w:p>
    <w:p w:rsidR="00CF30A5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0A5" w:rsidRPr="00E86DAD">
        <w:rPr>
          <w:rFonts w:ascii="Times New Roman" w:hAnsi="Times New Roman" w:cs="Times New Roman"/>
          <w:sz w:val="24"/>
          <w:szCs w:val="24"/>
        </w:rPr>
        <w:t xml:space="preserve">.2.2. Противопоказания к парентеральному питанию: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возможность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питания; 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отсутствие адекватного сосудистого доступа;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отсутствие признаков белково-энергетической недостаточности;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гипоксия (раО</w:t>
      </w:r>
      <w:proofErr w:type="gramStart"/>
      <w:r w:rsidRPr="00E86D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 xml:space="preserve"> &lt;60 мм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. ст.</w:t>
      </w:r>
      <w:r w:rsidR="00E86DAD" w:rsidRPr="00E86DAD">
        <w:rPr>
          <w:rFonts w:ascii="Times New Roman" w:hAnsi="Times New Roman" w:cs="Times New Roman"/>
          <w:sz w:val="24"/>
          <w:szCs w:val="24"/>
        </w:rPr>
        <w:t>)</w:t>
      </w:r>
      <w:r w:rsidRPr="00E86DAD">
        <w:rPr>
          <w:rFonts w:ascii="Times New Roman" w:hAnsi="Times New Roman" w:cs="Times New Roman"/>
          <w:sz w:val="24"/>
          <w:szCs w:val="24"/>
        </w:rPr>
        <w:t>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lastRenderedPageBreak/>
        <w:t>• дыхательный и метаболический ацидоз (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 </w:t>
      </w:r>
      <w:r w:rsidR="00E86DAD" w:rsidRPr="00E86DAD">
        <w:rPr>
          <w:rFonts w:ascii="Times New Roman" w:hAnsi="Times New Roman" w:cs="Times New Roman"/>
          <w:sz w:val="24"/>
          <w:szCs w:val="24"/>
        </w:rPr>
        <w:t>&lt;7,2; раСО</w:t>
      </w:r>
      <w:proofErr w:type="gramStart"/>
      <w:r w:rsidR="00E86DAD" w:rsidRPr="00E86D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86DAD" w:rsidRPr="00E86DAD">
        <w:rPr>
          <w:rFonts w:ascii="Times New Roman" w:hAnsi="Times New Roman" w:cs="Times New Roman"/>
          <w:sz w:val="24"/>
          <w:szCs w:val="24"/>
        </w:rPr>
        <w:t>&gt;</w:t>
      </w:r>
      <w:r w:rsidRPr="00E86DAD">
        <w:rPr>
          <w:rFonts w:ascii="Times New Roman" w:hAnsi="Times New Roman" w:cs="Times New Roman"/>
          <w:sz w:val="24"/>
          <w:szCs w:val="24"/>
        </w:rPr>
        <w:t xml:space="preserve"> 70 мм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. ст., сывороточный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 &gt; 3 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 / л);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анурия или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гипергидратация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без диализа;</w:t>
      </w:r>
    </w:p>
    <w:p w:rsidR="00CF30A5" w:rsidRPr="00E86DAD" w:rsidRDefault="00CF30A5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непереносимость или анафилаксия на составляющие компоненты питания.</w:t>
      </w:r>
    </w:p>
    <w:p w:rsidR="00E86DAD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6DAD" w:rsidRPr="00E86DAD">
        <w:rPr>
          <w:rFonts w:ascii="Times New Roman" w:hAnsi="Times New Roman" w:cs="Times New Roman"/>
          <w:sz w:val="24"/>
          <w:szCs w:val="24"/>
        </w:rPr>
        <w:t xml:space="preserve">.3. Смешанное питание </w:t>
      </w:r>
    </w:p>
    <w:p w:rsidR="00E86DAD" w:rsidRPr="00E86DAD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и парентеральное питание может назначаться пациентам одновременно при недостаточной эффективности одного из этих методов (не </w:t>
      </w:r>
      <w:proofErr w:type="gramStart"/>
      <w:r w:rsidRPr="00E86DAD">
        <w:rPr>
          <w:rFonts w:ascii="Times New Roman" w:hAnsi="Times New Roman" w:cs="Times New Roman"/>
          <w:sz w:val="24"/>
          <w:szCs w:val="24"/>
        </w:rPr>
        <w:t>позволяющем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 xml:space="preserve"> обеспечить более 60 % от потребности в энергии).</w:t>
      </w:r>
    </w:p>
    <w:p w:rsidR="00E86DAD" w:rsidRPr="00E86DAD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86DAD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DAD" w:rsidRPr="00E86DAD">
        <w:rPr>
          <w:rFonts w:ascii="Times New Roman" w:hAnsi="Times New Roman" w:cs="Times New Roman"/>
          <w:sz w:val="24"/>
          <w:szCs w:val="24"/>
        </w:rPr>
        <w:t xml:space="preserve">. НУТРИТИВНАЯ ПОДДЕРЖКА В ОНКОХИРУРГИИ </w:t>
      </w:r>
    </w:p>
    <w:p w:rsidR="00E86DAD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DAD" w:rsidRPr="00E86DAD">
        <w:rPr>
          <w:rFonts w:ascii="Times New Roman" w:hAnsi="Times New Roman" w:cs="Times New Roman"/>
          <w:sz w:val="24"/>
          <w:szCs w:val="24"/>
        </w:rPr>
        <w:t xml:space="preserve">.1. Показания к проведению предоперационной </w:t>
      </w:r>
      <w:proofErr w:type="spellStart"/>
      <w:r w:rsidR="00E86DAD" w:rsidRPr="00E86DAD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="00E86DAD" w:rsidRPr="00E86DAD">
        <w:rPr>
          <w:rFonts w:ascii="Times New Roman" w:hAnsi="Times New Roman" w:cs="Times New Roman"/>
          <w:sz w:val="24"/>
          <w:szCs w:val="24"/>
        </w:rPr>
        <w:t xml:space="preserve"> поддержки Пациенты с высоким риском развития питательной недостаточности нуждаются в предоперационной подготовке в течение 10–14 дней. У исходно истощённых пациентов </w:t>
      </w:r>
      <w:proofErr w:type="spellStart"/>
      <w:r w:rsidR="00E86DAD" w:rsidRPr="00E86DAD">
        <w:rPr>
          <w:rFonts w:ascii="Times New Roman" w:hAnsi="Times New Roman" w:cs="Times New Roman"/>
          <w:sz w:val="24"/>
          <w:szCs w:val="24"/>
        </w:rPr>
        <w:t>нутритивную</w:t>
      </w:r>
      <w:proofErr w:type="spellEnd"/>
      <w:r w:rsidR="00E86DAD" w:rsidRPr="00E86DAD">
        <w:rPr>
          <w:rFonts w:ascii="Times New Roman" w:hAnsi="Times New Roman" w:cs="Times New Roman"/>
          <w:sz w:val="24"/>
          <w:szCs w:val="24"/>
        </w:rPr>
        <w:t xml:space="preserve"> поддержку перед операцией следует проводить вне стационара для снижения частоты </w:t>
      </w:r>
      <w:proofErr w:type="spellStart"/>
      <w:r w:rsidR="00E86DAD" w:rsidRPr="00E86DAD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="00E86DAD" w:rsidRPr="00E86DAD">
        <w:rPr>
          <w:rFonts w:ascii="Times New Roman" w:hAnsi="Times New Roman" w:cs="Times New Roman"/>
          <w:sz w:val="24"/>
          <w:szCs w:val="24"/>
        </w:rPr>
        <w:t xml:space="preserve"> инфекции. Показаниями к проведению предоперационной </w:t>
      </w:r>
      <w:proofErr w:type="spellStart"/>
      <w:r w:rsidR="00E86DAD" w:rsidRPr="00E86DAD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="00E86DAD" w:rsidRPr="00E86DAD">
        <w:rPr>
          <w:rFonts w:ascii="Times New Roman" w:hAnsi="Times New Roman" w:cs="Times New Roman"/>
          <w:sz w:val="24"/>
          <w:szCs w:val="24"/>
        </w:rPr>
        <w:t xml:space="preserve"> поддержки являются: </w:t>
      </w:r>
    </w:p>
    <w:p w:rsidR="00E86DAD" w:rsidRPr="00E86DAD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потеря более 10 % массы тела за предшествующие 6 мес.; </w:t>
      </w:r>
    </w:p>
    <w:p w:rsidR="00E86DAD" w:rsidRPr="00E86DAD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>• ИМТ &lt;20 кг/м</w:t>
      </w:r>
      <w:proofErr w:type="gramStart"/>
      <w:r w:rsidRPr="00E86D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6DAD">
        <w:rPr>
          <w:rFonts w:ascii="Times New Roman" w:hAnsi="Times New Roman" w:cs="Times New Roman"/>
          <w:sz w:val="24"/>
          <w:szCs w:val="24"/>
        </w:rPr>
        <w:t>;</w:t>
      </w:r>
    </w:p>
    <w:p w:rsidR="00E86DAD" w:rsidRPr="00E86DAD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&lt;60 г/л или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гипоальбуминемия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&lt;30 г/л.</w:t>
      </w:r>
    </w:p>
    <w:p w:rsidR="00E86DAD" w:rsidRPr="00E86DAD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DAD" w:rsidRPr="00E86DAD">
        <w:rPr>
          <w:rFonts w:ascii="Times New Roman" w:hAnsi="Times New Roman" w:cs="Times New Roman"/>
          <w:sz w:val="24"/>
          <w:szCs w:val="24"/>
        </w:rPr>
        <w:t xml:space="preserve">.2. Предоперационный период </w:t>
      </w:r>
    </w:p>
    <w:p w:rsidR="00E86DAD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86DAD">
        <w:rPr>
          <w:rFonts w:ascii="Times New Roman" w:hAnsi="Times New Roman" w:cs="Times New Roman"/>
          <w:sz w:val="24"/>
          <w:szCs w:val="24"/>
        </w:rPr>
        <w:t xml:space="preserve">При сохранении возможности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перорального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приёма пищи применяют готовые сбалансированные смеси для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перорального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приёма (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сипинг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>) в дозе 400–600 мл (600–900 ккал / 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.). При невозможности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перорального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приёма пищи (опухоли верхних отделов пищеварительного тракта, стеноз желудка, кишечная непроходимость) проводят зондовое, парентеральное или смешанное питание согласно расчётной суточной потребности. При внутрижелудочном введении смеси, особенно у пациентов с нарушением эвакуации из желудка, перед введением очередной порции следует определять остаточный объём желудочного содержимого и в том случае, если он составляет более половины ранее введённой порции, очередное кормление следует пропустить. При тяжёлых формах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недостаточности курс предоперационной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терапии может быть увеличен до 10–14 суток и более.</w:t>
      </w:r>
    </w:p>
    <w:p w:rsidR="00E86DAD" w:rsidRPr="00902571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DAD" w:rsidRPr="00902571">
        <w:rPr>
          <w:rFonts w:ascii="Times New Roman" w:hAnsi="Times New Roman" w:cs="Times New Roman"/>
          <w:sz w:val="24"/>
          <w:szCs w:val="24"/>
        </w:rPr>
        <w:t xml:space="preserve">.3. Послеоперационный период </w:t>
      </w:r>
    </w:p>
    <w:p w:rsidR="00902571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DAD" w:rsidRPr="00902571">
        <w:rPr>
          <w:rFonts w:ascii="Times New Roman" w:hAnsi="Times New Roman" w:cs="Times New Roman"/>
          <w:sz w:val="24"/>
          <w:szCs w:val="24"/>
        </w:rPr>
        <w:t xml:space="preserve">.3.1. </w:t>
      </w:r>
      <w:proofErr w:type="spellStart"/>
      <w:r w:rsidR="00E86DAD" w:rsidRPr="00902571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E86DAD" w:rsidRPr="00902571">
        <w:rPr>
          <w:rFonts w:ascii="Times New Roman" w:hAnsi="Times New Roman" w:cs="Times New Roman"/>
          <w:sz w:val="24"/>
          <w:szCs w:val="24"/>
        </w:rPr>
        <w:t xml:space="preserve"> питание </w:t>
      </w:r>
    </w:p>
    <w:p w:rsidR="00E86DAD" w:rsidRPr="00902571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lastRenderedPageBreak/>
        <w:t xml:space="preserve">Раннее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питание снижает частоту инфекционных осложнений в послеоперационном периоде и длительность госпитализации. Начало зондового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питания – через сутки после оперативного вмешательства со скоростью 25 мл / час с доведением до необходимого объёма питания в течение 24–48 часов. Отсутствие выслушиваемой перистальтики не является противопоказанием для начала зондового питания. В случае непереносимости скорости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питания рекомендуется возврат на предыдущий, нормально переносившийся уровень до перевода на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пероральное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сипинговое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) питание. После операций на толстой кишке возможен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пероральный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приём лечебного питания через 3 часа после оперативного вмешательства. </w:t>
      </w:r>
    </w:p>
    <w:p w:rsidR="00E86DAD" w:rsidRPr="00902571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DAD" w:rsidRPr="00902571">
        <w:rPr>
          <w:rFonts w:ascii="Times New Roman" w:hAnsi="Times New Roman" w:cs="Times New Roman"/>
          <w:sz w:val="24"/>
          <w:szCs w:val="24"/>
        </w:rPr>
        <w:t xml:space="preserve">.3.2. Показания к послеоперационному парентеральному питанию </w:t>
      </w:r>
    </w:p>
    <w:p w:rsidR="00E86DAD" w:rsidRPr="00902571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невозможность или плохая переносимость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питания; </w:t>
      </w:r>
    </w:p>
    <w:p w:rsidR="00902571" w:rsidRPr="00902571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послеоперационные осложнения, сопровождающиеся нарушением функции ЖКТ и неспособностью адекватно питаться через рот или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около 7 суток. </w:t>
      </w:r>
    </w:p>
    <w:p w:rsidR="00902571" w:rsidRPr="00902571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DAD" w:rsidRPr="00902571">
        <w:rPr>
          <w:rFonts w:ascii="Times New Roman" w:hAnsi="Times New Roman" w:cs="Times New Roman"/>
          <w:sz w:val="24"/>
          <w:szCs w:val="24"/>
        </w:rPr>
        <w:t xml:space="preserve">.3.3. Начало парентерального питания: </w:t>
      </w:r>
    </w:p>
    <w:p w:rsidR="00902571" w:rsidRPr="00902571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стабильная гемодинамика; </w:t>
      </w:r>
    </w:p>
    <w:p w:rsidR="00902571" w:rsidRPr="00902571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через сутки после операции; </w:t>
      </w:r>
    </w:p>
    <w:p w:rsidR="00E86DAD" w:rsidRDefault="00E86DAD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50 % от должного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калоража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 первые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 сутки после операции из расчёта 20 ккал / кг ИМТ.</w:t>
      </w:r>
    </w:p>
    <w:p w:rsid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02571" w:rsidRPr="00902571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2571" w:rsidRPr="00902571">
        <w:rPr>
          <w:rFonts w:ascii="Times New Roman" w:hAnsi="Times New Roman" w:cs="Times New Roman"/>
          <w:sz w:val="24"/>
          <w:szCs w:val="24"/>
        </w:rPr>
        <w:t xml:space="preserve">. НУТРИТИВНАЯ ПОДДЕРЖКА ПРИ ХИМИОТЕРАПИИ И ЛУЧЕВОЙ ТЕРАПИИ </w:t>
      </w:r>
    </w:p>
    <w:p w:rsidR="00902571" w:rsidRP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Химиотерапия может приводить к развитию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анорексии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вследствие изменения вкуса и обоняния, появления металлического привкуса, дисфагии, язв на слизистой губ, языка, ротовой полости и пищевода, тошноты, рвоты, запоров или паралитического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. Лучевая терапия при локализации процесса в области головы и шеи нередко сопровождается повреждением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микроворсинок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вкусового поля или его поверхности, в результате чего пациенты чувствуют изменение вкуса и обоняния.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Мукозиты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и поражение слизистой могут развиваться на 2</w:t>
      </w:r>
      <w:r w:rsidRPr="00902571">
        <w:rPr>
          <w:rFonts w:ascii="Times New Roman" w:hAnsi="Times New Roman" w:cs="Times New Roman"/>
          <w:sz w:val="24"/>
          <w:szCs w:val="24"/>
        </w:rPr>
        <w:noBreakHyphen/>
        <w:t>ой или 3</w:t>
      </w:r>
      <w:r w:rsidRPr="00902571">
        <w:rPr>
          <w:rFonts w:ascii="Times New Roman" w:hAnsi="Times New Roman" w:cs="Times New Roman"/>
          <w:sz w:val="24"/>
          <w:szCs w:val="24"/>
        </w:rPr>
        <w:noBreakHyphen/>
        <w:t xml:space="preserve">ей неделе. Применение ЛТ при опухолевом поражении органов грудной клетки может вести к развитию дисфагии, которая сохраняется в течение длительного времени и после завершения лучевой терапии. Лучевая терапия при опухолях, локализующихся в области живота и малого таза, может способствовать развитию двух типов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нутриционных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нарушений: уменьшению приёма натуральных продуктов вследствие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анорексии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тошноты и рвоты, и развитию хронического лучевого энтерита (с клинической картиной синдрома короткой кишки). Необходимо помнить, что у 70–80 % пациентов лучевое воздействие на органы брюшной </w:t>
      </w:r>
      <w:r w:rsidRPr="00902571">
        <w:rPr>
          <w:rFonts w:ascii="Times New Roman" w:hAnsi="Times New Roman" w:cs="Times New Roman"/>
          <w:sz w:val="24"/>
          <w:szCs w:val="24"/>
        </w:rPr>
        <w:lastRenderedPageBreak/>
        <w:t xml:space="preserve">полости клинически сопровождается развитием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глюкозы, жиров, электролитов и протеинов. Морфологические изменения слизистой оболочки тонкой кишки проявляются уменьшением количества митозов и высоты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микроворсинок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, причём у 1 / 3 больных развивается острый энтерит, переходящий </w:t>
      </w:r>
      <w:proofErr w:type="gramStart"/>
      <w:r w:rsidRPr="009025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571">
        <w:rPr>
          <w:rFonts w:ascii="Times New Roman" w:hAnsi="Times New Roman" w:cs="Times New Roman"/>
          <w:sz w:val="24"/>
          <w:szCs w:val="24"/>
        </w:rPr>
        <w:t xml:space="preserve"> латентный. </w:t>
      </w:r>
    </w:p>
    <w:p w:rsidR="00902571" w:rsidRP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Основными целями НП у данной категории больных являются: </w:t>
      </w:r>
    </w:p>
    <w:p w:rsidR="00902571" w:rsidRP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предотвращение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недостаточности; </w:t>
      </w:r>
    </w:p>
    <w:p w:rsidR="00902571" w:rsidRP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улучшение переносимости лечения; </w:t>
      </w:r>
    </w:p>
    <w:p w:rsidR="00902571" w:rsidRP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контроль над побочными реакциями; </w:t>
      </w:r>
    </w:p>
    <w:p w:rsid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>• повышение качества жизни.</w:t>
      </w:r>
    </w:p>
    <w:p w:rsidR="00902571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2571" w:rsidRPr="00902571">
        <w:rPr>
          <w:rFonts w:ascii="Times New Roman" w:hAnsi="Times New Roman" w:cs="Times New Roman"/>
          <w:sz w:val="24"/>
          <w:szCs w:val="24"/>
        </w:rPr>
        <w:t xml:space="preserve">.1. Основные принципы проведения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поддержки в процессе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>- и лучевой терапии</w:t>
      </w:r>
      <w:proofErr w:type="gramStart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ледует относиться к НП не как к опции, а как к обязательному компоненту лечения данной категории больных. НП следует начинать как можно раньше (при наличии показаний), поскольку при лёгкой степени питательной недостаточности гораздо проще стабилизировать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нутритивный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статус и предотвратить тяжёлое истощение вследствие прогрессирования катаболизма. Скрининг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статуса и НП должны применяться также у амбулаторных пациентов, т.к. у каждого третьего из них развивается тяжёлое истощение. Парентеральное питание неэффективно и даже опасно у больных без дисфункции ЖКТ, которые могут питаться самостоятельно. Парентеральное питание рекомендуют пациентам с </w:t>
      </w:r>
      <w:proofErr w:type="gramStart"/>
      <w:r w:rsidR="00902571" w:rsidRPr="00902571">
        <w:rPr>
          <w:rFonts w:ascii="Times New Roman" w:hAnsi="Times New Roman" w:cs="Times New Roman"/>
          <w:sz w:val="24"/>
          <w:szCs w:val="24"/>
        </w:rPr>
        <w:t>тяжёлыми</w:t>
      </w:r>
      <w:proofErr w:type="gram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мукозитами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или тяжёлым радиационным энтеритом. При ЛТ, особенно области голова-шея, грудной клетки и ЖКТ, необходимо обеспечивать адекватную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нутритивную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поддержку в виде персонализированного подбора диеты и / или назначения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пероральных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энтеральных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диет. При развитии тяжёлых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мукозитов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на фоне ЛТ, а также при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обструктивных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опухолях области голова-шея и грудной клетки следует проводить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питание через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чрескожную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571" w:rsidRPr="00902571">
        <w:rPr>
          <w:rFonts w:ascii="Times New Roman" w:hAnsi="Times New Roman" w:cs="Times New Roman"/>
          <w:sz w:val="24"/>
          <w:szCs w:val="24"/>
        </w:rPr>
        <w:t>эндоскопическую</w:t>
      </w:r>
      <w:proofErr w:type="gram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гастростому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зонд. В процессе ЛТ рекомендуется проводить оценку функции глотания с целью раннего выявления дисфагии и своевременного изменения тактики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питания. Недостаточно убедительных данных для назначения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у больных с диареей, развившейся на фоне ЛТ, а также для назначения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глутамина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с целью предотвращения радиационного энтерита / диареи, стоматита, эзофагита, кожной токсичности. Парентеральное питание показано только пациентам с тяжёлым радиационным энтеритом или </w:t>
      </w:r>
      <w:proofErr w:type="gramStart"/>
      <w:r w:rsidR="00902571" w:rsidRPr="00902571">
        <w:rPr>
          <w:rFonts w:ascii="Times New Roman" w:hAnsi="Times New Roman" w:cs="Times New Roman"/>
          <w:sz w:val="24"/>
          <w:szCs w:val="24"/>
        </w:rPr>
        <w:t>тяжёлой</w:t>
      </w:r>
      <w:proofErr w:type="gram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мальабсорбцией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питание невозможно или малоэффективно. Недостаточно данных для назначения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глутамина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при традиционной цитотоксической или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терапии. При интенсивной ХТ или после трансплантации костного мозга следует сочетать физическую активность и 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нутритивную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поддержку в виде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> / парентерального питания.</w:t>
      </w:r>
    </w:p>
    <w:p w:rsidR="00902571" w:rsidRPr="00902571" w:rsidRDefault="002A65CA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02571" w:rsidRPr="00902571">
        <w:rPr>
          <w:rFonts w:ascii="Times New Roman" w:hAnsi="Times New Roman" w:cs="Times New Roman"/>
          <w:sz w:val="24"/>
          <w:szCs w:val="24"/>
        </w:rPr>
        <w:t xml:space="preserve">.2. Показания к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поддержке при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>- и лучевом лечении:</w:t>
      </w:r>
    </w:p>
    <w:p w:rsidR="00902571" w:rsidRP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>• индекс массы тела</w:t>
      </w:r>
      <w:r>
        <w:rPr>
          <w:rFonts w:ascii="Times New Roman" w:hAnsi="Times New Roman" w:cs="Times New Roman"/>
          <w:sz w:val="24"/>
          <w:szCs w:val="24"/>
        </w:rPr>
        <w:t xml:space="preserve"> &lt;20 кг/м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02571" w:rsidRPr="00902571" w:rsidRDefault="00902571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>• потеря более 5 % массы тела за 6 мес.;</w:t>
      </w:r>
    </w:p>
    <w:p w:rsidR="00902571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&lt;60 г/л или </w:t>
      </w:r>
      <w:proofErr w:type="spellStart"/>
      <w:r w:rsidRPr="00E86DAD">
        <w:rPr>
          <w:rFonts w:ascii="Times New Roman" w:hAnsi="Times New Roman" w:cs="Times New Roman"/>
          <w:sz w:val="24"/>
          <w:szCs w:val="24"/>
        </w:rPr>
        <w:t>гипоальбуминемия</w:t>
      </w:r>
      <w:proofErr w:type="spellEnd"/>
      <w:r w:rsidRPr="00E86DAD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30 г/л;</w:t>
      </w:r>
    </w:p>
    <w:p w:rsidR="00902571" w:rsidRPr="00902571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невозможность адекватного питания через рот; </w:t>
      </w:r>
    </w:p>
    <w:p w:rsidR="00902571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энтеропатия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средней и тяжёлой степени.</w:t>
      </w:r>
    </w:p>
    <w:p w:rsidR="00902571" w:rsidRPr="00902571" w:rsidRDefault="002A65CA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2571" w:rsidRPr="00902571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Пероральное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питание</w:t>
      </w:r>
    </w:p>
    <w:p w:rsidR="00902571" w:rsidRPr="00902571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Пероральная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НП проводится в том случае, когда приём пищи через рот недостаточен, но возможен.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Пероральное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энтеральных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смесей заключается в использовании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гиперкалорической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энтеральной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смеси в тех ситуациях, когда зонд пациенту не нужен и сохранена (или восстановлена) возможность самостоятельного питания через рот, однако потребности в белковых и энергетических субстратах высокие. </w:t>
      </w:r>
    </w:p>
    <w:p w:rsidR="00902571" w:rsidRPr="00902571" w:rsidRDefault="002A65CA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2571" w:rsidRPr="00902571">
        <w:rPr>
          <w:rFonts w:ascii="Times New Roman" w:hAnsi="Times New Roman" w:cs="Times New Roman"/>
          <w:sz w:val="24"/>
          <w:szCs w:val="24"/>
        </w:rPr>
        <w:t xml:space="preserve">.4. Зондовое </w:t>
      </w:r>
      <w:proofErr w:type="spellStart"/>
      <w:r w:rsidR="00902571" w:rsidRPr="00902571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902571" w:rsidRPr="00902571">
        <w:rPr>
          <w:rFonts w:ascii="Times New Roman" w:hAnsi="Times New Roman" w:cs="Times New Roman"/>
          <w:sz w:val="24"/>
          <w:szCs w:val="24"/>
        </w:rPr>
        <w:t xml:space="preserve"> питание </w:t>
      </w:r>
    </w:p>
    <w:p w:rsidR="00902571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02571">
        <w:rPr>
          <w:rFonts w:ascii="Times New Roman" w:hAnsi="Times New Roman" w:cs="Times New Roman"/>
          <w:sz w:val="24"/>
          <w:szCs w:val="24"/>
        </w:rPr>
        <w:t xml:space="preserve">Зондовое </w:t>
      </w:r>
      <w:proofErr w:type="spellStart"/>
      <w:r w:rsidRPr="00902571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902571">
        <w:rPr>
          <w:rFonts w:ascii="Times New Roman" w:hAnsi="Times New Roman" w:cs="Times New Roman"/>
          <w:sz w:val="24"/>
          <w:szCs w:val="24"/>
        </w:rPr>
        <w:t xml:space="preserve"> питание проводится в том случае, когда питание через рот невозможно, но функция пищеварения сохранена адекватно. Длительность курса определяется длительностью расстройств самостоятельного питания через рот.</w:t>
      </w:r>
    </w:p>
    <w:p w:rsidR="00902571" w:rsidRPr="00023D1C" w:rsidRDefault="002A65CA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2571" w:rsidRPr="00023D1C">
        <w:rPr>
          <w:rFonts w:ascii="Times New Roman" w:hAnsi="Times New Roman" w:cs="Times New Roman"/>
          <w:sz w:val="24"/>
          <w:szCs w:val="24"/>
        </w:rPr>
        <w:t xml:space="preserve">.5. Парентеральное питание </w:t>
      </w:r>
    </w:p>
    <w:p w:rsidR="00902571" w:rsidRPr="00023D1C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Показанием к парентеральному питанию является невозможность адекватного 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 питания в течение более 3 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. В зависимости от продолжительности парентеральное питание подразделяется </w:t>
      </w:r>
      <w:proofErr w:type="gramStart"/>
      <w:r w:rsidRPr="00023D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3D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2571" w:rsidRPr="00023D1C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23D1C">
        <w:rPr>
          <w:rFonts w:ascii="Times New Roman" w:hAnsi="Times New Roman" w:cs="Times New Roman"/>
          <w:sz w:val="24"/>
          <w:szCs w:val="24"/>
        </w:rPr>
        <w:t>краткосрочное</w:t>
      </w:r>
      <w:proofErr w:type="gramEnd"/>
      <w:r w:rsidRPr="00023D1C">
        <w:rPr>
          <w:rFonts w:ascii="Times New Roman" w:hAnsi="Times New Roman" w:cs="Times New Roman"/>
          <w:sz w:val="24"/>
          <w:szCs w:val="24"/>
        </w:rPr>
        <w:t xml:space="preserve"> ПП (10–15 суток): </w:t>
      </w:r>
    </w:p>
    <w:p w:rsidR="00902571" w:rsidRPr="00023D1C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23D1C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023D1C">
        <w:rPr>
          <w:rFonts w:ascii="Times New Roman" w:hAnsi="Times New Roman" w:cs="Times New Roman"/>
          <w:sz w:val="24"/>
          <w:szCs w:val="24"/>
        </w:rPr>
        <w:t xml:space="preserve"> и тяжёлый 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мукозит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илеус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некупируемая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 рвота; </w:t>
      </w:r>
    </w:p>
    <w:p w:rsidR="00902571" w:rsidRPr="00023D1C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23D1C">
        <w:rPr>
          <w:rFonts w:ascii="Times New Roman" w:hAnsi="Times New Roman" w:cs="Times New Roman"/>
          <w:sz w:val="24"/>
          <w:szCs w:val="24"/>
        </w:rPr>
        <w:t>длительное</w:t>
      </w:r>
      <w:proofErr w:type="gramEnd"/>
      <w:r w:rsidRPr="00023D1C">
        <w:rPr>
          <w:rFonts w:ascii="Times New Roman" w:hAnsi="Times New Roman" w:cs="Times New Roman"/>
          <w:sz w:val="24"/>
          <w:szCs w:val="24"/>
        </w:rPr>
        <w:t xml:space="preserve"> (более 30 суток): </w:t>
      </w:r>
    </w:p>
    <w:p w:rsidR="00023D1C" w:rsidRPr="00023D1C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– тяжёлая 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мальабсорбция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D1C" w:rsidRPr="00023D1C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подострый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 или хронический радиационный энтерит; </w:t>
      </w:r>
    </w:p>
    <w:p w:rsidR="00902571" w:rsidRDefault="00902571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23D1C">
        <w:rPr>
          <w:rFonts w:ascii="Times New Roman" w:hAnsi="Times New Roman" w:cs="Times New Roman"/>
          <w:sz w:val="24"/>
          <w:szCs w:val="24"/>
        </w:rPr>
        <w:t>тяжёлая</w:t>
      </w:r>
      <w:proofErr w:type="gramEnd"/>
      <w:r w:rsidRPr="0002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D1C">
        <w:rPr>
          <w:rFonts w:ascii="Times New Roman" w:hAnsi="Times New Roman" w:cs="Times New Roman"/>
          <w:sz w:val="24"/>
          <w:szCs w:val="24"/>
        </w:rPr>
        <w:t>энтеропатия</w:t>
      </w:r>
      <w:proofErr w:type="spellEnd"/>
      <w:r w:rsidRPr="00023D1C">
        <w:rPr>
          <w:rFonts w:ascii="Times New Roman" w:hAnsi="Times New Roman" w:cs="Times New Roman"/>
          <w:sz w:val="24"/>
          <w:szCs w:val="24"/>
        </w:rPr>
        <w:t xml:space="preserve"> на фоне реакции «трансплантат против хозяина».</w:t>
      </w:r>
    </w:p>
    <w:p w:rsidR="00023D1C" w:rsidRDefault="00023D1C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23D1C" w:rsidRPr="00023D1C" w:rsidRDefault="002A65CA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3D1C" w:rsidRPr="00023D1C">
        <w:rPr>
          <w:rFonts w:ascii="Times New Roman" w:hAnsi="Times New Roman" w:cs="Times New Roman"/>
          <w:sz w:val="24"/>
          <w:szCs w:val="24"/>
        </w:rPr>
        <w:t xml:space="preserve">. МОНИТОРИНГ ЭФФЕКТИВНОСТИ НУТРИТИВНОЙ ПОДДЕРЖКИ </w:t>
      </w:r>
    </w:p>
    <w:p w:rsidR="00023D1C" w:rsidRPr="00023D1C" w:rsidRDefault="00023D1C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• Общий белок сыворотки крови 1 раз в 5–7 дней </w:t>
      </w:r>
    </w:p>
    <w:p w:rsidR="00023D1C" w:rsidRPr="00023D1C" w:rsidRDefault="00023D1C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• Альбумин сыворотки крови 1 раз в 5–7 дней </w:t>
      </w:r>
    </w:p>
    <w:p w:rsidR="00023D1C" w:rsidRPr="00023D1C" w:rsidRDefault="00023D1C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• Гемоглобин 1 раз в 5–7 дней </w:t>
      </w:r>
    </w:p>
    <w:p w:rsidR="00023D1C" w:rsidRPr="00023D1C" w:rsidRDefault="00023D1C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• Лимфоциты периферической крови 1 раз в 5–7 дней </w:t>
      </w:r>
    </w:p>
    <w:p w:rsidR="00023D1C" w:rsidRPr="00023D1C" w:rsidRDefault="00023D1C" w:rsidP="0090257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t xml:space="preserve">• Масса тела и ИМТ тела 1 раз в 7–10 дней </w:t>
      </w: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3D1C">
        <w:rPr>
          <w:rFonts w:ascii="Times New Roman" w:hAnsi="Times New Roman" w:cs="Times New Roman"/>
          <w:sz w:val="24"/>
          <w:szCs w:val="24"/>
        </w:rPr>
        <w:lastRenderedPageBreak/>
        <w:t>Частота исследования данных показателей может изменяться в зависимости от конкретной клинической ситуации.</w:t>
      </w: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можно сказать, что своевременное выявление пациентов из группы риска нарушения питательного статуса позволяет защитить больного от прогрессирующей потери массы тела и развития рефрактерной кахексии. Скрининг и мониторинг недостаточности питания должны проводиться на протяжении всего времени лечения онкологического больного.</w:t>
      </w: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36574" w:rsidRDefault="0003657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Клинические рекомендации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поддержке онкологических больных (ОБЩЕРОССИЙСКИЙ СОЮЗ ОБЩЕСТВЕННЫХ ОБЪЕДИНЕНИЙ АССОЦИАЦИЯ ОНКОЛОГОВ РОССИИ)</w:t>
      </w:r>
    </w:p>
    <w:p w:rsidR="00036574" w:rsidRDefault="0003657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Практические рекомендации по лечению</w:t>
      </w:r>
    </w:p>
    <w:p w:rsidR="00036574" w:rsidRDefault="0003657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36574">
        <w:rPr>
          <w:rFonts w:ascii="Times New Roman" w:hAnsi="Times New Roman" w:cs="Times New Roman"/>
          <w:sz w:val="24"/>
          <w:szCs w:val="24"/>
        </w:rPr>
        <w:t>https://rosoncoweb.ru/standarts/RUSSCO/2020</w:t>
      </w:r>
    </w:p>
    <w:p w:rsidR="00036574" w:rsidRPr="00902571" w:rsidRDefault="0003657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Онкология: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 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М.И. Давыдова</w:t>
      </w:r>
    </w:p>
    <w:sectPr w:rsidR="00036574" w:rsidRPr="00902571" w:rsidSect="0048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B63"/>
    <w:rsid w:val="00023D1C"/>
    <w:rsid w:val="00036574"/>
    <w:rsid w:val="000F2B63"/>
    <w:rsid w:val="002A65CA"/>
    <w:rsid w:val="00482582"/>
    <w:rsid w:val="007D14A7"/>
    <w:rsid w:val="00902571"/>
    <w:rsid w:val="009902A1"/>
    <w:rsid w:val="00CF30A5"/>
    <w:rsid w:val="00E35854"/>
    <w:rsid w:val="00E8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2021-02-14T07:35:00Z</dcterms:created>
  <dcterms:modified xsi:type="dcterms:W3CDTF">2021-02-14T09:05:00Z</dcterms:modified>
</cp:coreProperties>
</file>