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335" w:rsidRPr="00EF4FE4" w:rsidRDefault="00B8613D" w:rsidP="00466335">
      <w:pPr>
        <w:spacing w:before="40"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ричины развития системной гипоплазии временных зубов, причины системной гипоплазии постоянных зубов</w:t>
      </w:r>
    </w:p>
    <w:p w:rsidR="00B8613D" w:rsidRDefault="00B8613D" w:rsidP="00466335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Гипоплазия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эмали </w:t>
      </w:r>
      <w:r w:rsid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B8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обызвествления и формирования твердых </w:t>
      </w:r>
      <w:proofErr w:type="spellStart"/>
      <w:r w:rsidRPr="00B8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тканеи</w:t>
      </w:r>
      <w:proofErr w:type="spellEnd"/>
      <w:r w:rsidRPr="00B8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зубов. </w:t>
      </w:r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Клинически гипоплазия определяется как один из трех дефектов эмали (ограниченное помутнение, диффузное помутнение и гипоплазия). При гипоплазии эмали возникает дефект поверхности зуба в результате уменьшения ее толщины. Дефект проявляется в виде ямочек, единичных или множественных, мелких или глубоких, разбросанных по поверхности зуба или образующих горизонтальные ряды в виде бороздок: единичных или множественных, узких или широких (до 2 мм); в виде островков частичного или полного исчезновения эмали на </w:t>
      </w:r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</w:t>
      </w:r>
      <w:r w:rsid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протяженности Истонченная эмаль бывает 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или 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мутнои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(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опаловои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̆). Распространенность дефекта по поверхности эмали определяют визуально. Далее суммируют все участки поражения и вычисляют процент (или часть) 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пораженнои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поверхности к 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видимои</w:t>
      </w:r>
      <w:proofErr w:type="spellEnd"/>
      <w:r w:rsidR="00F94CF0" w:rsidRPr="00F9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поверхности зуба.</w:t>
      </w:r>
    </w:p>
    <w:p w:rsidR="00F94CF0" w:rsidRPr="00602041" w:rsidRDefault="00F94CF0" w:rsidP="00466335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13D" w:rsidRPr="00602041" w:rsidRDefault="00B8613D" w:rsidP="00466335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Разработано несколько гипотез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этиопатогенеза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гипоплазии. Суть одной из них заключается в том, что первичные изменения начинаются в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амелобластах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гипоплазия эмали может наблюдаться только во время формирования матрицы. Начальные нарушения возникают во время формирования или секреции вещества эмали внутри цитоплазмы. Однако эта стадия болезни обратима,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клетки еще способны возобновить нормальную функцию. В последующем по морфологическим изменениям заметны линии роста. В поздние и наиболее тяжелые стадии болезни выявляются характерные вакуольные изменения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амелобластов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вплоть до их полного разрушения. Таким образом, клетки не могут больше функционировать,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амелогенез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прекращается. В последующем клинически диагностируется гипоплазия эмали.</w:t>
      </w:r>
    </w:p>
    <w:p w:rsidR="00B8613D" w:rsidRDefault="00B8613D" w:rsidP="00B8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pPr w:leftFromText="180" w:rightFromText="180" w:vertAnchor="page" w:horzAnchor="margin" w:tblpY="10985"/>
        <w:tblW w:w="0" w:type="auto"/>
        <w:tblLook w:val="04A0" w:firstRow="1" w:lastRow="0" w:firstColumn="1" w:lastColumn="0" w:noHBand="0" w:noVBand="1"/>
      </w:tblPr>
      <w:tblGrid>
        <w:gridCol w:w="4628"/>
        <w:gridCol w:w="4717"/>
      </w:tblGrid>
      <w:tr w:rsidR="000B269C" w:rsidRPr="00602041" w:rsidTr="000B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:rsidR="000B269C" w:rsidRPr="00602041" w:rsidRDefault="000B269C" w:rsidP="000B269C">
            <w:pPr>
              <w:spacing w:before="40" w:after="4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Временные зубы</w:t>
            </w:r>
          </w:p>
        </w:tc>
        <w:tc>
          <w:tcPr>
            <w:tcW w:w="4717" w:type="dxa"/>
          </w:tcPr>
          <w:p w:rsidR="000B269C" w:rsidRPr="00602041" w:rsidRDefault="000B269C" w:rsidP="000B26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Постоянные зубы</w:t>
            </w:r>
          </w:p>
        </w:tc>
      </w:tr>
      <w:tr w:rsidR="000B269C" w:rsidRPr="00602041" w:rsidTr="000B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shd w:val="clear" w:color="auto" w:fill="F2F2F1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езус-конфликт с матерью</w:t>
            </w:r>
          </w:p>
        </w:tc>
        <w:tc>
          <w:tcPr>
            <w:tcW w:w="4717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арушения обмена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ещест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в до/после рождения</w:t>
            </w:r>
          </w:p>
        </w:tc>
      </w:tr>
      <w:tr w:rsidR="000B269C" w:rsidRPr="00602041" w:rsidTr="000B2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Болезни беременных</w:t>
            </w:r>
          </w:p>
          <w:p w:rsidR="000B269C" w:rsidRPr="000B269C" w:rsidRDefault="000B269C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гистоз</w:t>
            </w:r>
            <w:proofErr w:type="spellEnd"/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краснуха)</w:t>
            </w:r>
          </w:p>
        </w:tc>
        <w:tc>
          <w:tcPr>
            <w:tcW w:w="4717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оксические диспепсии в период формирования и минерализации зубов</w:t>
            </w:r>
          </w:p>
        </w:tc>
      </w:tr>
      <w:tr w:rsidR="000B269C" w:rsidRPr="00602041" w:rsidTr="000B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ая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травм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4717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стрые инфекционные заболевания</w:t>
            </w:r>
          </w:p>
        </w:tc>
      </w:tr>
      <w:tr w:rsidR="000B269C" w:rsidRPr="00602041" w:rsidTr="000B2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Недоношенные дети</w:t>
            </w:r>
          </w:p>
        </w:tc>
        <w:tc>
          <w:tcPr>
            <w:tcW w:w="4717" w:type="dxa"/>
            <w:vAlign w:val="center"/>
          </w:tcPr>
          <w:p w:rsidR="000B269C" w:rsidRPr="000B269C" w:rsidRDefault="000B269C" w:rsidP="000B269C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Перенесённый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 xml:space="preserve"> рахит</w:t>
            </w:r>
          </w:p>
        </w:tc>
      </w:tr>
      <w:tr w:rsidR="000674E4" w:rsidRPr="00602041" w:rsidTr="000B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vAlign w:val="center"/>
          </w:tcPr>
          <w:p w:rsidR="000674E4" w:rsidRPr="000B269C" w:rsidRDefault="000674E4" w:rsidP="000B26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одившиеся в асфиксии</w:t>
            </w:r>
          </w:p>
        </w:tc>
        <w:tc>
          <w:tcPr>
            <w:tcW w:w="4717" w:type="dxa"/>
            <w:vMerge w:val="restart"/>
            <w:vAlign w:val="center"/>
          </w:tcPr>
          <w:p w:rsidR="000674E4" w:rsidRPr="000B269C" w:rsidRDefault="000674E4" w:rsidP="000B269C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ронич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соматич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</w:t>
            </w:r>
            <w:r w:rsidRPr="000B269C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</w:tr>
      <w:tr w:rsidR="000674E4" w:rsidRPr="00602041" w:rsidTr="000674E4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vAlign w:val="center"/>
          </w:tcPr>
          <w:p w:rsidR="000674E4" w:rsidRPr="000B269C" w:rsidRDefault="000674E4" w:rsidP="000674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Перенесённая г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емолитическ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ая</w:t>
            </w:r>
            <w:r w:rsidRPr="000B2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желтух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4717" w:type="dxa"/>
            <w:vMerge/>
            <w:vAlign w:val="center"/>
          </w:tcPr>
          <w:p w:rsidR="000674E4" w:rsidRPr="000B269C" w:rsidRDefault="000674E4" w:rsidP="000B269C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35" w:rsidRDefault="00466335" w:rsidP="00B861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13D" w:rsidRPr="00602041" w:rsidRDefault="000674E4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л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гипоплазии можно определить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возраст, в котором ребенок перенес заболевание.</w:t>
      </w:r>
    </w:p>
    <w:p w:rsidR="00B8613D" w:rsidRPr="00602041" w:rsidRDefault="00B8613D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4,5-6 мес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яцев: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Гипоплазия корон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центр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 резцов в области режущего края и бугры 6х зубов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613D" w:rsidRDefault="00B8613D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9-12 мес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яцев: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Боковые клыки и резцы-режущий край, </w:t>
      </w:r>
      <w:proofErr w:type="spellStart"/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центра.резцы</w:t>
      </w:r>
      <w:proofErr w:type="spellEnd"/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6е зубы-область экватора.</w:t>
      </w:r>
    </w:p>
    <w:p w:rsidR="00466335" w:rsidRPr="00602041" w:rsidRDefault="00466335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335" w:rsidRDefault="00B8613D" w:rsidP="00466335">
      <w:pPr>
        <w:spacing w:before="40" w:after="4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Выделяют 3 форм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системной гипоплазии</w:t>
      </w:r>
    </w:p>
    <w:p w:rsidR="00466335" w:rsidRPr="00602041" w:rsidRDefault="00466335" w:rsidP="00466335">
      <w:pPr>
        <w:spacing w:before="40" w:after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6335" w:rsidRDefault="00B8613D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Изменение цвета эмали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5842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ятна: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белые, желтоватые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пятен четкие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еличина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пятен</w:t>
      </w:r>
      <w:r w:rsidR="0046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зубов одинаковая; </w:t>
      </w:r>
    </w:p>
    <w:p w:rsidR="00B8613D" w:rsidRPr="00602041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вестибулярной поверхности резцов и клыков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842" w:rsidRDefault="00B8613D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Недоразвитие эмали </w:t>
      </w:r>
    </w:p>
    <w:p w:rsidR="00825842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="00B8613D"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олнистая</w:t>
      </w:r>
      <w:r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форма</w:t>
      </w:r>
      <w:r w:rsidRPr="00825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заметна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5842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8258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</w:t>
      </w:r>
      <w:r w:rsidR="00B8613D" w:rsidRPr="008258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очечная</w:t>
      </w:r>
      <w:r w:rsidRPr="008258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форма</w:t>
      </w:r>
      <w:r w:rsidRPr="00825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язычной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либо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вестибулярной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8613D" w:rsidRPr="00602041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</w:t>
      </w:r>
      <w:r w:rsidR="00B8613D"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ороздчатая</w:t>
      </w:r>
      <w:r w:rsidRPr="008258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форма</w:t>
      </w:r>
      <w:r w:rsidRPr="00825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B8613D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поперечны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подобных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8613D" w:rsidRPr="008258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лестничная форма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13D" w:rsidRPr="00602041" w:rsidRDefault="00B8613D" w:rsidP="00466335">
      <w:pPr>
        <w:spacing w:before="40" w:after="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Отсутствие эмали</w:t>
      </w:r>
      <w:r w:rsidR="0046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(аплазия)</w:t>
      </w:r>
    </w:p>
    <w:p w:rsidR="00B8613D" w:rsidRDefault="00825842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613D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гипоплазия проявляется на зубах, сформированных в один период жизни.</w:t>
      </w:r>
    </w:p>
    <w:p w:rsidR="00466335" w:rsidRDefault="00466335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335" w:rsidRDefault="00466335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335" w:rsidRDefault="00466335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335" w:rsidRPr="00602041" w:rsidRDefault="00466335" w:rsidP="00466335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B8613D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Default="00825842" w:rsidP="008258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5842" w:rsidRPr="00825842" w:rsidRDefault="00825842" w:rsidP="00965C61">
      <w:pPr>
        <w:spacing w:before="40"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</w:t>
      </w:r>
      <w:r w:rsidR="00B8613D"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 лечения и диспансеризации детей 6-12 лет с системной гипоплазией, бороз</w:t>
      </w:r>
      <w:r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B8613D" w:rsidRPr="0082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чатой формы.</w:t>
      </w:r>
    </w:p>
    <w:p w:rsidR="00965C61" w:rsidRPr="00602041" w:rsidRDefault="00B8613D" w:rsidP="00A84976">
      <w:pPr>
        <w:spacing w:before="40" w:after="40"/>
        <w:ind w:hanging="142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br/>
      </w:r>
      <w:r w:rsidRPr="00602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D6DE8" wp14:editId="0C1E0DC3">
            <wp:extent cx="5940425" cy="2991581"/>
            <wp:effectExtent l="0" t="0" r="3175" b="259715"/>
            <wp:docPr id="2" name="Рисунок 2" descr="Гипоплазия эмали – серьезная патология развития тканей зуб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оплазия эмали – серьезная патология развития тканей зуб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5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stA="39000" endPos="8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4976" w:rsidRDefault="00965C61" w:rsidP="00965C61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65C61">
        <w:rPr>
          <w:rFonts w:ascii="Times New Roman" w:hAnsi="Times New Roman" w:cs="Times New Roman"/>
          <w:sz w:val="28"/>
          <w:szCs w:val="28"/>
        </w:rPr>
        <w:t xml:space="preserve">Основные жалобы пациентов — косметические дефекты зубов, которые проявляются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меловиднои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или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пигментированнои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эмалью, дефектами </w:t>
      </w:r>
      <w:r w:rsidR="00BA6AF5" w:rsidRPr="00965C61">
        <w:rPr>
          <w:rFonts w:ascii="Times New Roman" w:hAnsi="Times New Roman" w:cs="Times New Roman"/>
          <w:sz w:val="28"/>
          <w:szCs w:val="28"/>
        </w:rPr>
        <w:t>эмали.</w:t>
      </w:r>
      <w:r w:rsidRPr="00965C61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эстетическои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неудовлетворенности пациенты с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гипоплазиеи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эмали меньше разговаривают, меньше смеются, замкнуты. </w:t>
      </w:r>
    </w:p>
    <w:p w:rsidR="00965C61" w:rsidRDefault="00965C61" w:rsidP="00965C61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65C6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с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тяжелои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гипоплазиеи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 нередко нарушается жевательная функция. Если дефекты эмали значительные, отмечается болезненность зуба при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воздействии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 химических </w:t>
      </w:r>
      <w:proofErr w:type="spellStart"/>
      <w:r w:rsidRPr="00965C61">
        <w:rPr>
          <w:rFonts w:ascii="Times New Roman" w:hAnsi="Times New Roman" w:cs="Times New Roman"/>
          <w:sz w:val="28"/>
          <w:szCs w:val="28"/>
        </w:rPr>
        <w:t>раздражителеи</w:t>
      </w:r>
      <w:proofErr w:type="spellEnd"/>
      <w:r w:rsidRPr="00965C61">
        <w:rPr>
          <w:rFonts w:ascii="Times New Roman" w:hAnsi="Times New Roman" w:cs="Times New Roman"/>
          <w:sz w:val="28"/>
          <w:szCs w:val="28"/>
        </w:rPr>
        <w:t xml:space="preserve">̆. </w:t>
      </w:r>
    </w:p>
    <w:p w:rsidR="00A84976" w:rsidRDefault="00B8613D" w:rsidP="00965C61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 xml:space="preserve">Гипоплазия, проявляющаяся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меловидными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пятнами, как правило, не требует лечения, за исключением пациентов, у которых коричневое окрашивание зубов вызывает эстетический дискомфорт. В таких случаях требуется отбеливание зубов, эстетическое пломбирование или изготовление ламинатов. Если определяется шероховатость эмали или ее неглубокое размягчение, во избежание поражения гипоплазии кариесом, эти участки эмали следует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сошлифо</w:t>
      </w:r>
      <w:r w:rsidR="00A84976">
        <w:rPr>
          <w:rFonts w:ascii="Times New Roman" w:hAnsi="Times New Roman" w:cs="Times New Roman"/>
          <w:sz w:val="28"/>
          <w:szCs w:val="28"/>
        </w:rPr>
        <w:t>вы</w:t>
      </w:r>
      <w:r w:rsidRPr="0060204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. Для уплотнения основания дефекта достаточно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реминерализирующего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действия слюны. </w:t>
      </w:r>
    </w:p>
    <w:p w:rsidR="00A84976" w:rsidRDefault="00B8613D" w:rsidP="00A84976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 xml:space="preserve">При глубоких поражениях эмали, проникающих до дентина, необходимо препарировать полость и запломбировать ее. Препарирование полости следует проводить до видимо здоровых тканей, иначе пломбирование может быть неэффективным. С целью повышения эффективности пломбирования дефектов при гипоплазии зубов рекомендуется проведение курса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терапии на участки поражения с использованием растворов фторидов. Если коронка зуба значительно деформирована, необходимо эстетическое протезирование.</w:t>
      </w:r>
      <w:r w:rsidR="00A8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76" w:rsidRPr="00A84976" w:rsidRDefault="00A84976" w:rsidP="00A84976">
      <w:pPr>
        <w:spacing w:before="40" w:after="4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 w:rsidRPr="00602041">
        <w:rPr>
          <w:rFonts w:ascii="Times New Roman" w:hAnsi="Times New Roman" w:cs="Times New Roman"/>
          <w:sz w:val="28"/>
          <w:szCs w:val="28"/>
        </w:rPr>
        <w:t xml:space="preserve">6-12 лет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602041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041">
        <w:rPr>
          <w:rFonts w:ascii="Times New Roman" w:hAnsi="Times New Roman" w:cs="Times New Roman"/>
          <w:sz w:val="28"/>
          <w:szCs w:val="28"/>
        </w:rPr>
        <w:t xml:space="preserve"> сменного прикуса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AE1" w:rsidRDefault="00A84976" w:rsidP="00A84976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системной</w:t>
      </w:r>
      <w:r w:rsidR="00B8613D" w:rsidRPr="00602041">
        <w:rPr>
          <w:rFonts w:ascii="Times New Roman" w:hAnsi="Times New Roman" w:cs="Times New Roman"/>
          <w:sz w:val="28"/>
          <w:szCs w:val="28"/>
        </w:rPr>
        <w:t xml:space="preserve"> гипоплази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613D" w:rsidRPr="00602041">
        <w:rPr>
          <w:rFonts w:ascii="Times New Roman" w:hAnsi="Times New Roman" w:cs="Times New Roman"/>
          <w:sz w:val="28"/>
          <w:szCs w:val="28"/>
        </w:rPr>
        <w:t xml:space="preserve"> постоянных зубов, необходимо </w:t>
      </w:r>
      <w:r w:rsidRPr="00602041">
        <w:rPr>
          <w:rFonts w:ascii="Times New Roman" w:hAnsi="Times New Roman" w:cs="Times New Roman"/>
          <w:sz w:val="28"/>
          <w:szCs w:val="28"/>
        </w:rPr>
        <w:t>следить за здоровьем беременной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041">
        <w:rPr>
          <w:rFonts w:ascii="Times New Roman" w:hAnsi="Times New Roman" w:cs="Times New Roman"/>
          <w:sz w:val="28"/>
          <w:szCs w:val="28"/>
        </w:rPr>
        <w:t>а также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="00B8613D" w:rsidRPr="00602041">
        <w:rPr>
          <w:rFonts w:ascii="Times New Roman" w:hAnsi="Times New Roman" w:cs="Times New Roman"/>
          <w:sz w:val="28"/>
          <w:szCs w:val="28"/>
        </w:rPr>
        <w:t xml:space="preserve">предупредить заболевания ребенка в течение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B8613D" w:rsidRPr="00602041">
        <w:rPr>
          <w:rFonts w:ascii="Times New Roman" w:hAnsi="Times New Roman" w:cs="Times New Roman"/>
          <w:sz w:val="28"/>
          <w:szCs w:val="28"/>
        </w:rPr>
        <w:t xml:space="preserve"> лет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F5" w:rsidRPr="00602041" w:rsidRDefault="00BA6AF5" w:rsidP="00BA6AF5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>При бороздчатой форме гипоплазии чаще рекомендуется закрытие дефектов композитными материалами.</w:t>
      </w:r>
    </w:p>
    <w:p w:rsidR="00BA6AF5" w:rsidRPr="00A84976" w:rsidRDefault="00BA6AF5" w:rsidP="00A84976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szCs w:val="20"/>
        </w:rPr>
      </w:pPr>
    </w:p>
    <w:sectPr w:rsidR="00BA6AF5" w:rsidRPr="00A8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804"/>
    <w:multiLevelType w:val="hybridMultilevel"/>
    <w:tmpl w:val="33C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3D"/>
    <w:rsid w:val="00035AE1"/>
    <w:rsid w:val="000674E4"/>
    <w:rsid w:val="000B269C"/>
    <w:rsid w:val="00466335"/>
    <w:rsid w:val="00551BA0"/>
    <w:rsid w:val="00825842"/>
    <w:rsid w:val="00965C61"/>
    <w:rsid w:val="00A84976"/>
    <w:rsid w:val="00B56764"/>
    <w:rsid w:val="00B8613D"/>
    <w:rsid w:val="00BA6AF5"/>
    <w:rsid w:val="00C5307F"/>
    <w:rsid w:val="00CC10F2"/>
    <w:rsid w:val="00EF4FE4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B951"/>
  <w15:chartTrackingRefBased/>
  <w15:docId w15:val="{23880698-B1CA-7F4E-92B0-87DEE839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CF0"/>
    <w:pPr>
      <w:ind w:left="720"/>
      <w:contextualSpacing/>
    </w:pPr>
  </w:style>
  <w:style w:type="table" w:styleId="a5">
    <w:name w:val="Grid Table Light"/>
    <w:basedOn w:val="a1"/>
    <w:uiPriority w:val="40"/>
    <w:rsid w:val="00035A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035A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35A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035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C530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C530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508E2-5E4C-7949-B6DA-B3E7FE5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589</Words>
  <Characters>4297</Characters>
  <Application>Microsoft Office Word</Application>
  <DocSecurity>0</DocSecurity>
  <Lines>143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Olovyannikov Artyom</dc:creator>
  <cp:keywords/>
  <dc:description/>
  <cp:lastModifiedBy>Olovyannikov Artyom</cp:lastModifiedBy>
  <cp:revision>3</cp:revision>
  <dcterms:created xsi:type="dcterms:W3CDTF">2020-05-06T06:39:00Z</dcterms:created>
  <dcterms:modified xsi:type="dcterms:W3CDTF">2020-05-06T18:46:00Z</dcterms:modified>
</cp:coreProperties>
</file>