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D16EC6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CC1BA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D16EC6"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16EC6">
              <w:rPr>
                <w:color w:val="000000"/>
                <w:sz w:val="24"/>
                <w:szCs w:val="24"/>
                <w:lang w:eastAsia="ru-RU" w:bidi="ru-RU"/>
              </w:rPr>
              <w:t>Гастроэнтерология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79207A" w:rsidRDefault="00D16EC6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Гастроэнтерология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D16EC6">
        <w:t>Цель изучения дисциплины</w:t>
      </w:r>
      <w:r w:rsidR="00E25943" w:rsidRPr="00D16EC6">
        <w:t xml:space="preserve"> </w:t>
      </w:r>
      <w:r w:rsidRPr="00D16EC6">
        <w:t>– состоит</w:t>
      </w:r>
      <w:r w:rsidR="00CC1BA1" w:rsidRPr="00D16EC6">
        <w:t xml:space="preserve"> в </w:t>
      </w:r>
      <w:r w:rsidR="00D16EC6">
        <w:t>подготовке квалифицированного врача-гастроэнтеролога, обладающего системой универсальных и профессиональных компетенций, способного и готового для самостоятельно</w:t>
      </w:r>
      <w:r w:rsidR="00D16EC6">
        <w:t xml:space="preserve">й профессиональной </w:t>
      </w:r>
      <w:r w:rsidR="00D16EC6" w:rsidRPr="00D16EC6">
        <w:t>деятельности</w:t>
      </w:r>
      <w:r w:rsidR="0018047D" w:rsidRPr="00D16EC6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1 - способность и готовность к выявлению основных патологических симптомов и синдромов заболеваний органов пищеварения на основе владения пропедевтическими, лабораторными, инструментальными и иными методами исследованиями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2 - способность и готовность к использованию алгоритма постановки основного, сопутствующего диагнозов, а так же осложнений с учетом Международной статистической классификации болезней и проблем, связанных со здоровьем (МКБ), к выполнению основных диагностических мероприятий по выявлению неотложных и угрожающих жизни состояний в конкретной группе заболеваний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 xml:space="preserve">ПК 3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16EC6">
        <w:rPr>
          <w:rFonts w:ascii="Times New Roman" w:eastAsia="Times New Roman" w:hAnsi="Times New Roman" w:cs="Times New Roman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16EC6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16EC6">
        <w:rPr>
          <w:rFonts w:ascii="Times New Roman" w:eastAsia="Times New Roman" w:hAnsi="Times New Roman" w:cs="Times New Roman"/>
          <w:lang w:eastAsia="ru-RU"/>
        </w:rPr>
        <w:t xml:space="preserve"> -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4 - способность и готовность к участию в оказании скорой медицинской помощи при состояниях, требующих срочного медицинского вмешательства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lastRenderedPageBreak/>
        <w:t>ПК 5 - способность и готовность к оказанию медицинской помощи при чрезвычайных ситуациях, в том числе участие в медицинской эвакуации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6 - способность и готовность к применению различных реабилитационных мероприятий (медицинские, социальные, психологические) при наиболее распространенных заболеваниях органов пищеварения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7 -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санитарно-курортном лечении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8 -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(профилактическая деятельность)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9 -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(профилактическая деятельность)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10 -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(профилактическая деятельность)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11 -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(организационно-управленческая деятельность)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6EC6" w:rsidRPr="00D16EC6" w:rsidRDefault="00D16EC6" w:rsidP="00D1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6EC6">
        <w:rPr>
          <w:rFonts w:ascii="Times New Roman" w:eastAsia="Times New Roman" w:hAnsi="Times New Roman" w:cs="Times New Roman"/>
          <w:lang w:eastAsia="ru-RU"/>
        </w:rPr>
        <w:t>ПК 12 - готовность к участию в оценке качества оказания медицинской помощи с использованием основных медико-статистических показателей (организационно-управленческая деятельность)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 xml:space="preserve">информации о </w:t>
      </w:r>
      <w:r w:rsidR="00C53340" w:rsidRPr="00FA3B48">
        <w:lastRenderedPageBreak/>
        <w:t>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lastRenderedPageBreak/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lastRenderedPageBreak/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</w:t>
      </w:r>
      <w:r w:rsidRPr="00F01728">
        <w:lastRenderedPageBreak/>
        <w:t xml:space="preserve">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lastRenderedPageBreak/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D16EC6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2018-11-01T09:11:00Z</dcterms:modified>
</cp:coreProperties>
</file>