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1C9D" w14:textId="77777777" w:rsidR="00F12B16" w:rsidRPr="00F12B16" w:rsidRDefault="00F12B16" w:rsidP="00F12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B1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5E139078" w14:textId="77777777" w:rsidR="00F12B16" w:rsidRPr="00F12B16" w:rsidRDefault="00F12B16" w:rsidP="00F12B16">
      <w:pPr>
        <w:jc w:val="center"/>
        <w:rPr>
          <w:rFonts w:ascii="Times New Roman" w:hAnsi="Times New Roman" w:cs="Times New Roman"/>
        </w:rPr>
      </w:pPr>
    </w:p>
    <w:p w14:paraId="2F9A38D7" w14:textId="77777777" w:rsidR="00F12B16" w:rsidRPr="00F12B16" w:rsidRDefault="00F12B16" w:rsidP="00F12B16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Pr="00F12B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4A836380" w14:textId="77777777" w:rsidR="00F12B16" w:rsidRPr="00F12B16" w:rsidRDefault="00F12B16" w:rsidP="00F12B16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D8D05B6" w14:textId="77777777" w:rsidR="00F12B16" w:rsidRPr="00F12B16" w:rsidRDefault="00F12B16" w:rsidP="00F12B16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620D34A" w14:textId="77777777" w:rsidR="00F12B16" w:rsidRPr="00F12B16" w:rsidRDefault="00F12B16" w:rsidP="00F12B16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4566BE5" w14:textId="77777777" w:rsidR="00F12B16" w:rsidRPr="00F12B16" w:rsidRDefault="00F12B16" w:rsidP="00F12B16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275D18A" w14:textId="77777777" w:rsidR="00F12B16" w:rsidRPr="00F12B16" w:rsidRDefault="00F12B16" w:rsidP="00F12B16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F12B16"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Реферат</w:t>
      </w:r>
    </w:p>
    <w:p w14:paraId="7CF44816" w14:textId="2800C11A" w:rsidR="00F12B16" w:rsidRPr="00F12B16" w:rsidRDefault="00F12B16" w:rsidP="00F12B16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F12B16">
        <w:rPr>
          <w:rStyle w:val="a7"/>
          <w:rFonts w:ascii="Times New Roman" w:hAnsi="Times New Roman" w:cs="Times New Roman"/>
          <w:i w:val="0"/>
          <w:iCs w:val="0"/>
          <w:color w:val="auto"/>
          <w:sz w:val="40"/>
          <w:szCs w:val="40"/>
        </w:rPr>
        <w:t>«</w:t>
      </w:r>
      <w:r w:rsidRPr="00F12B16">
        <w:rPr>
          <w:rFonts w:ascii="Times New Roman" w:hAnsi="Times New Roman" w:cs="Times New Roman"/>
          <w:sz w:val="40"/>
          <w:szCs w:val="40"/>
          <w:lang w:eastAsia="ru-RU"/>
        </w:rPr>
        <w:t>В</w:t>
      </w:r>
      <w:r w:rsidRPr="00F12B16">
        <w:rPr>
          <w:rFonts w:ascii="Times New Roman" w:hAnsi="Times New Roman" w:cs="Times New Roman"/>
          <w:sz w:val="40"/>
          <w:szCs w:val="40"/>
          <w:lang w:eastAsia="ru-RU"/>
        </w:rPr>
        <w:t>ывих ключицы</w:t>
      </w:r>
      <w:r w:rsidRPr="00F12B16">
        <w:rPr>
          <w:rFonts w:ascii="Times New Roman" w:hAnsi="Times New Roman" w:cs="Times New Roman"/>
          <w:sz w:val="40"/>
          <w:szCs w:val="40"/>
          <w:lang w:eastAsia="ru-RU"/>
        </w:rPr>
        <w:t>»</w:t>
      </w:r>
    </w:p>
    <w:p w14:paraId="427E7399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08258BE1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373DB4E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EB10B64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590EBCD0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56E6E53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188B3C2C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30902B8B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5E338E2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1909F139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D77D73F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698966EC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573E602C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0EFC5C2B" w14:textId="77777777" w:rsidR="00F12B16" w:rsidRPr="00F12B16" w:rsidRDefault="00F12B16" w:rsidP="00F12B1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2B16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Ординатор </w:t>
      </w:r>
    </w:p>
    <w:p w14:paraId="02688B7B" w14:textId="77777777" w:rsidR="00F12B16" w:rsidRPr="00F12B16" w:rsidRDefault="00F12B16" w:rsidP="00F12B1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2B16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7FBBA773" w14:textId="77777777" w:rsidR="00F12B16" w:rsidRPr="00F12B16" w:rsidRDefault="00F12B16" w:rsidP="00F12B1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2B16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5D13E8B4" w14:textId="77777777" w:rsidR="00F12B16" w:rsidRPr="00F12B16" w:rsidRDefault="00F12B16" w:rsidP="00F12B1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2B16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5FD330F5" w14:textId="77777777" w:rsidR="00F12B16" w:rsidRPr="00F12B16" w:rsidRDefault="00F12B16" w:rsidP="00F12B1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2B16">
        <w:rPr>
          <w:rFonts w:ascii="Times New Roman" w:hAnsi="Times New Roman" w:cs="Times New Roman"/>
          <w:sz w:val="28"/>
          <w:szCs w:val="28"/>
          <w:lang w:eastAsia="ru-RU"/>
        </w:rPr>
        <w:t>Амельченко А. И.</w:t>
      </w:r>
    </w:p>
    <w:p w14:paraId="440A129A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5178717D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14A6B68F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5AB63FE0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1CBD497F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4B94DCD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73EA81F1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0687FDE7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2A244A6E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4D482AB0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649A7BC6" w14:textId="77777777" w:rsidR="00F12B16" w:rsidRPr="00F12B16" w:rsidRDefault="00F12B16" w:rsidP="00F12B16">
      <w:pPr>
        <w:pStyle w:val="a5"/>
        <w:rPr>
          <w:rFonts w:ascii="Times New Roman" w:hAnsi="Times New Roman" w:cs="Times New Roman"/>
          <w:lang w:eastAsia="ru-RU"/>
        </w:rPr>
      </w:pPr>
    </w:p>
    <w:p w14:paraId="158B52F8" w14:textId="1CEFF57C" w:rsidR="00F12B16" w:rsidRDefault="00F12B16" w:rsidP="00F12B16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CA96492" w14:textId="77777777" w:rsidR="00F12B16" w:rsidRPr="00F12B16" w:rsidRDefault="00F12B16" w:rsidP="00F12B16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1CFAA71F" w14:textId="77777777" w:rsidR="00F12B16" w:rsidRPr="00F12B16" w:rsidRDefault="00F12B16" w:rsidP="00F12B1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2B16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</w:p>
    <w:p w14:paraId="56EA1E7C" w14:textId="77777777" w:rsidR="00F12B16" w:rsidRPr="00F12B16" w:rsidRDefault="00F12B16" w:rsidP="00F12B1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План реферата</w:t>
      </w:r>
    </w:p>
    <w:p w14:paraId="6EA06D29" w14:textId="5CEDC020" w:rsidR="00F12B16" w:rsidRPr="00F12B16" w:rsidRDefault="00F12B16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вывихов ключицы</w:t>
      </w:r>
    </w:p>
    <w:p w14:paraId="1B88B03D" w14:textId="77777777" w:rsidR="00F12B16" w:rsidRPr="00F12B16" w:rsidRDefault="00F12B16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критерии (жалобы, анамнез, физикальное обследование, инструментальные исследования)</w:t>
      </w:r>
    </w:p>
    <w:p w14:paraId="65DDCED4" w14:textId="138F47FF" w:rsidR="00F12B16" w:rsidRPr="00F12B16" w:rsidRDefault="00FB4754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</w:t>
      </w:r>
    </w:p>
    <w:p w14:paraId="09547D7A" w14:textId="77777777" w:rsidR="00F12B16" w:rsidRPr="00F12B16" w:rsidRDefault="00F12B16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 на амбулаторном этапе</w:t>
      </w:r>
    </w:p>
    <w:p w14:paraId="095E585D" w14:textId="77777777" w:rsidR="00F12B16" w:rsidRPr="00F12B16" w:rsidRDefault="00F12B16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 на стационарном этапе</w:t>
      </w:r>
    </w:p>
    <w:p w14:paraId="03708D41" w14:textId="55F626BC" w:rsidR="00F12B16" w:rsidRDefault="00FB4754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</w:p>
    <w:p w14:paraId="5F38DA94" w14:textId="371EAAD6" w:rsidR="00FB4754" w:rsidRDefault="008052FB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для ранней реабилитации</w:t>
      </w:r>
    </w:p>
    <w:p w14:paraId="2E8CB467" w14:textId="0D8D9507" w:rsidR="008052FB" w:rsidRPr="00F12B16" w:rsidRDefault="008052FB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</w:p>
    <w:p w14:paraId="0FE7A333" w14:textId="77777777" w:rsidR="00F12B16" w:rsidRPr="00F12B16" w:rsidRDefault="00F12B16" w:rsidP="00F12B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14:paraId="397A74AE" w14:textId="77777777" w:rsidR="00F12B16" w:rsidRPr="00F12B16" w:rsidRDefault="00F12B16" w:rsidP="00F12B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BB2686" w14:textId="0B9AF268" w:rsidR="00C01F14" w:rsidRDefault="00C01F14">
      <w:pPr>
        <w:rPr>
          <w:rFonts w:ascii="Times New Roman" w:hAnsi="Times New Roman" w:cs="Times New Roman"/>
          <w:sz w:val="28"/>
          <w:szCs w:val="28"/>
        </w:rPr>
      </w:pPr>
    </w:p>
    <w:p w14:paraId="5252307C" w14:textId="361AE16F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404737BD" w14:textId="07323464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2C1094EE" w14:textId="132E3592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6EC9E3F9" w14:textId="523BC1AA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59817A7C" w14:textId="5744DE2F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080C8393" w14:textId="6320515A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69DDD750" w14:textId="7E9A0E4C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77236B93" w14:textId="24E2CAE2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2B8E09E8" w14:textId="031EDFE7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5280537E" w14:textId="200FF9EB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1FF3817E" w14:textId="5BBB7F6F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4314BC29" w14:textId="0D834DE2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014F9A8B" w14:textId="65E865E4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1F99B9CB" w14:textId="67795724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3510FB56" w14:textId="6786E45D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3CF3A09F" w14:textId="6965CF9F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01DAFB21" w14:textId="48E0D7D6" w:rsidR="008052FB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74C50515" w14:textId="77777777" w:rsidR="008052FB" w:rsidRPr="00F12B16" w:rsidRDefault="008052FB">
      <w:pPr>
        <w:rPr>
          <w:rFonts w:ascii="Times New Roman" w:hAnsi="Times New Roman" w:cs="Times New Roman"/>
          <w:sz w:val="28"/>
          <w:szCs w:val="28"/>
        </w:rPr>
      </w:pPr>
    </w:p>
    <w:p w14:paraId="52815F6C" w14:textId="77777777" w:rsidR="00793C9B" w:rsidRDefault="009836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Клиническая классификация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C237DB4" w14:textId="3BD0C0CD" w:rsidR="00BE4433" w:rsidRPr="00F12B16" w:rsidRDefault="009836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 степени повреждения связочного аппарата: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полный;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неполный.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Вывих грудинного конца ключицы подразделяется на: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предгрудинный;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загрудинный.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Вывих акромиального конца ключицы подразделяется на: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надакромиальный;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подакромиальный.</w:t>
      </w:r>
    </w:p>
    <w:p w14:paraId="7DF9EBA8" w14:textId="77777777" w:rsidR="00793C9B" w:rsidRDefault="00F90F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критерии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F5526D" w14:textId="541D2AA5" w:rsidR="009836DC" w:rsidRPr="00F12B16" w:rsidRDefault="00F90F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Жалобы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: на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боли в области плечевого сустава;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нарушение двигательной функции в плечевом суставе.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Анамнез: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наличие травмы с непрямым (форсированное движение в плечевом суставе, превышающем его нормальные амплитуды).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Реже от прямого удара в область плечевого сустава.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Физикальное обследование: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При осмотре отмечается: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вынужденное положение верхней конечности;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деформация плечевого сустава (при вывихе грудинного конца ключицы отмечается асимметрия ключично-грудинного сочленения, ключица выстоит над грудиной, укорочение надплечья, ступенеобразное выстояние дистального отдела ключицы);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отек в области ключицы;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ограничение активных и пассивных движений в плечевом суставе;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кровоизлияние в окружающие ткани в области плечевого сустава.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При пальпации отмечается: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сильная боль в области ключицы;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болезненность, усиливающая при осевой нагрузке и движениях, в области ключично-грудинного, акромиально-ключичного сустава;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положителен симптом «клавиши»;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западение в области ключичино-грудинного сочленения.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Лабораторные исследования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: отсутствие патологических изменений в анализах крови и мочи.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исследования: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</w:t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рентгенография ключицы в прямой проекции: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отмечается нарушение конгруэнтности суставных поверхностей. Иногда необходима дополнительная аксиальная проекция.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для дифференциального диагноза между вывихом и подвывихом необходима симметричная </w:t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рентгенография обоих акромиально-ключичных сочленений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</w:t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магнитно-резонансная томография: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определяются признаки повреждения капсульно-связочного аппарата и сухожилии.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консультации специалистов: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консультация нейрохирурга при повреждении плечевого сплетения и сочетанной травме головного мозга;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консультация хирурга при сочетанной травме живота;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консультация ангиохирурга при сопутствующем повреждении сосудов;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консультация терапевта при наличии сопутствующих заболевании терапевтического профиля;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консультация эндокринолога при наличии сахарного диабета и зоба.</w:t>
      </w:r>
    </w:p>
    <w:p w14:paraId="43F650A6" w14:textId="77777777" w:rsidR="00FB4754" w:rsidRDefault="00DC5B26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лечения:</w:t>
      </w:r>
    </w:p>
    <w:p w14:paraId="4ADD1F61" w14:textId="70775CC2" w:rsidR="00DC5B26" w:rsidRPr="00F12B16" w:rsidRDefault="00DC5B2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 полных вывихах показано консервативное лечение. </w:t>
      </w:r>
      <w:proofErr w:type="gram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Накладываются  повязки</w:t>
      </w:r>
      <w:proofErr w:type="gram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типа Дезо. При полных вывихах показано оперативное лечение.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Немедикаментозное лечение: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Режим свободный.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Диета – стол 15, другие виды диет назначаются в зависимости от сопутствующей патологии.</w:t>
      </w:r>
    </w:p>
    <w:p w14:paraId="0E919640" w14:textId="450FD560" w:rsidR="00B0644C" w:rsidRPr="00F12B16" w:rsidRDefault="00B064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Другие виды лечения, оказываемые на амбулаторном уровне: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наложение иммобилизационных средств (шины, мягкие косыночные повязки, гипсовой повязки, брейс, </w:t>
      </w:r>
      <w:proofErr w:type="gram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ортез)  в</w:t>
      </w:r>
      <w:proofErr w:type="gram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ранние сроки, срок иммобилизации 3-4 недель.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Необходим постоянный контроль за шиной или повязкой для исключения рецидива вывиха и профилактики ишемии дистального отдела конечности и пролежня;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новокаиновые блокады.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Другие виды лечения, оказываемые на стационарном уровне: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наложение иммобилизационных средств (шины, мягкие косыночные повязки, гипсовые повязки, брейс, ортез)  в ранние сроки, срок иммобилизации 3-4 недель.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Необходим постоянный контроль за шиной или повязкой для исключения рецидива вывиха и профилактики ишемии дистального отдела конечности и пролежня [7];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новокаиновые блокады.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вмешательство, оказываемое в стационарных условиях: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Показания: 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полный вывих ключицы.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Противопоказания: 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сопутствующие заболевания.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полном вывихе акромиального конца и вывихах грудинного конца ключицы показано оперативное лечение: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восстановление связок;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открытое и закрытое вправление вывиха с фиксацией различными конструкциями;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другие восстановительные и пластические манипуляции на кости лопатки, ключицы и грудной клетки;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закрытая репозиция вывиха других уточненных локализации;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открытая репозиция вывиха других уточненных локализации;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ушивание суставной капсулы или связки верхней конечности.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ранней медицинской реабилитации: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локальная криотерапия (курс лечения составляет 5-10 процедур).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ультрафиолетовое облучение (курс лечения составляет 5-10 процедур).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магнитотерапия (курс лечения составляет 5-10 процедур).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УВЧ-терапия (курс лечения составляет 5-10 процедур).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лазеротерапия (курс лечения составляет 5-10 процедур).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предупреждения атрофии мышц и улучшения регионарной гемодинамики поврежденной конечности,  применяют: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изометрическое напряжение мышц  плеча и предплечья, интенсивность напряжений увеличивают постепенно, длительность 5-7 секунд, количество повторений 8-10 за одно занятие;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активные  многократные сгибания и разгибания пальцев рук, а так же  упражнения тренирующие периферическое кровообращение (опускание с последующим приданием возвышенного положения  поврежденной конечности);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идеомоторным упражнениям уделяют особое внимание, как методу 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сохранения двигательного динамического стереотипа, которые служат профилактике  тугоподвижности в суставах. Особенно эффективными являются </w:t>
      </w:r>
      <w:proofErr w:type="gram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воображаемые  движения</w:t>
      </w:r>
      <w:proofErr w:type="gram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мысленно воспроизводится конкретный двигательный акт с давно выработанным динамическим стереотипом. Эффект оказывается значительно большим, если параллельно с воображаемыми, </w:t>
      </w:r>
      <w:proofErr w:type="gramStart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это  движение</w:t>
      </w:r>
      <w:proofErr w:type="gramEnd"/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реально воспроизводится симметричной  здоровой  конечностью. За одно занятие выполняют 12-14  идеомоторных движений; 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Рекомендации: Проведение иммобилизации сроком  3-4 недель.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Диспансеризации не подлежат.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 безопасности методов диагностики и лечения: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устранение боли;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восстановление двигательной функции плечевого сустава.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индекс Бартела – выше 85 баллов;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MRC- scale – от 3 баллов;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индекс Карновского – 80 баллов;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гониометрия – менее 80% от нормы.</w:t>
      </w:r>
    </w:p>
    <w:p w14:paraId="2A4875E8" w14:textId="400DCDBF" w:rsidR="00EE1741" w:rsidRPr="00F12B16" w:rsidRDefault="00EE17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Профилактика травматизма: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соблюдение правил техники безопасности в быту и на производстве;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соблюдение правил дорожного движения;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соблюдение мер по профилактике уличного травматизма (ныряние на мелководье, прыжки с высоты, переход с балкона на балкон и прочие);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создание безопасной среды на улице, в быту и на производстве (гололедица, установление дорожных знаков и.т.д.);</w:t>
      </w:r>
      <w:r w:rsidRPr="00F12B16">
        <w:rPr>
          <w:rFonts w:ascii="Times New Roman" w:hAnsi="Times New Roman" w:cs="Times New Roman"/>
          <w:sz w:val="28"/>
          <w:szCs w:val="28"/>
        </w:rPr>
        <w:br/>
      </w: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проведение информационно-разъяснительной работы среди населения о мерах профилактики травматизма.</w:t>
      </w:r>
    </w:p>
    <w:p w14:paraId="64B27F16" w14:textId="73563820" w:rsidR="003A4F4D" w:rsidRPr="003A4F4D" w:rsidRDefault="003A4F4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A4F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3B2360" w:rsidRPr="003A4F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писок литературы </w:t>
      </w:r>
    </w:p>
    <w:p w14:paraId="37EFF33D" w14:textId="77777777" w:rsidR="003A4F4D" w:rsidRDefault="003B23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1) Травматология и ортопедия. Корнилов Н.В. – СПб.: Гиппократ, 2001. – 408 с. </w:t>
      </w:r>
    </w:p>
    <w:p w14:paraId="6C9AF752" w14:textId="127BF197" w:rsidR="003B2360" w:rsidRPr="00F12B16" w:rsidRDefault="003A4F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C7746" w:rsidRPr="00F12B16">
        <w:rPr>
          <w:rFonts w:ascii="Times New Roman" w:hAnsi="Times New Roman" w:cs="Times New Roman"/>
          <w:sz w:val="28"/>
          <w:szCs w:val="28"/>
          <w:shd w:val="clear" w:color="auto" w:fill="FFFFFF"/>
        </w:rPr>
        <w:t>) Травма. В 3-х т. Т 2. / Дэвид В. Феличано, Кеннэт Л. Маттокс, Эрнест Е. Мур / пер. с англ.; под. ред. Л.А.Якимова, Н.Л.Матвеева – М.: Издательство Панфилова; БИНОМ. Лаборатория знаний, 2013. – с. 736: ил.</w:t>
      </w:r>
    </w:p>
    <w:sectPr w:rsidR="003B2360" w:rsidRPr="00F1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14"/>
    <w:rsid w:val="003A4F4D"/>
    <w:rsid w:val="003B2360"/>
    <w:rsid w:val="00793C9B"/>
    <w:rsid w:val="008052FB"/>
    <w:rsid w:val="009836DC"/>
    <w:rsid w:val="009C1F60"/>
    <w:rsid w:val="00B0644C"/>
    <w:rsid w:val="00BE4433"/>
    <w:rsid w:val="00C01F14"/>
    <w:rsid w:val="00DC5B26"/>
    <w:rsid w:val="00EE1741"/>
    <w:rsid w:val="00F12B16"/>
    <w:rsid w:val="00F90FC8"/>
    <w:rsid w:val="00FB4754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5E54"/>
  <w15:chartTrackingRefBased/>
  <w15:docId w15:val="{68333AE6-0D0D-41DC-A4E4-92153186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836DC"/>
    <w:rPr>
      <w:b/>
      <w:bCs/>
    </w:rPr>
  </w:style>
  <w:style w:type="character" w:styleId="a4">
    <w:name w:val="Hyperlink"/>
    <w:basedOn w:val="a0"/>
    <w:uiPriority w:val="99"/>
    <w:semiHidden/>
    <w:unhideWhenUsed/>
    <w:rsid w:val="00F12B16"/>
    <w:rPr>
      <w:color w:val="0000FF"/>
      <w:u w:val="single"/>
    </w:rPr>
  </w:style>
  <w:style w:type="paragraph" w:styleId="a5">
    <w:name w:val="No Spacing"/>
    <w:uiPriority w:val="1"/>
    <w:qFormat/>
    <w:rsid w:val="00F12B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2B16"/>
    <w:pPr>
      <w:spacing w:line="256" w:lineRule="auto"/>
      <w:ind w:left="720"/>
      <w:contextualSpacing/>
    </w:pPr>
  </w:style>
  <w:style w:type="character" w:styleId="a7">
    <w:name w:val="Subtle Emphasis"/>
    <w:basedOn w:val="a0"/>
    <w:uiPriority w:val="19"/>
    <w:qFormat/>
    <w:rsid w:val="00F12B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Анастасия Шигаева</cp:lastModifiedBy>
  <cp:revision>15</cp:revision>
  <dcterms:created xsi:type="dcterms:W3CDTF">2019-09-27T06:35:00Z</dcterms:created>
  <dcterms:modified xsi:type="dcterms:W3CDTF">2019-09-27T08:30:00Z</dcterms:modified>
</cp:coreProperties>
</file>