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C7" w:rsidRPr="007D2AC7" w:rsidRDefault="007D2AC7" w:rsidP="007D2AC7">
      <w:pPr>
        <w:keepNext/>
        <w:keepLines/>
        <w:numPr>
          <w:ilvl w:val="1"/>
          <w:numId w:val="0"/>
        </w:numPr>
        <w:spacing w:after="0"/>
        <w:jc w:val="center"/>
        <w:outlineLvl w:val="1"/>
        <w:rPr>
          <w:rFonts w:eastAsia="Times New Roman" w:cstheme="majorBidi"/>
          <w:b/>
          <w:bCs/>
          <w:iCs/>
          <w:spacing w:val="15"/>
          <w:szCs w:val="26"/>
        </w:rPr>
      </w:pPr>
      <w:bookmarkStart w:id="0" w:name="_Toc40351584"/>
      <w:r w:rsidRPr="007D2AC7">
        <w:rPr>
          <w:rFonts w:eastAsia="Times New Roman" w:cstheme="majorBidi"/>
          <w:b/>
          <w:bCs/>
          <w:iCs/>
          <w:spacing w:val="15"/>
          <w:szCs w:val="26"/>
        </w:rPr>
        <w:t>5.1 Тема № 1 (30 часов). Организация работы по приему лекарственных средств, товаров аптечного ассортимента.  Документы, подтверждающие качество</w:t>
      </w:r>
      <w:bookmarkEnd w:id="0"/>
    </w:p>
    <w:p w:rsidR="007D2AC7" w:rsidRPr="007D2AC7" w:rsidRDefault="007D2AC7" w:rsidP="007D2AC7">
      <w:pPr>
        <w:suppressAutoHyphens/>
        <w:spacing w:after="0"/>
        <w:ind w:firstLine="709"/>
        <w:rPr>
          <w:rFonts w:asciiTheme="minorHAnsi" w:hAnsiTheme="minorHAnsi" w:cstheme="minorBidi"/>
          <w:sz w:val="22"/>
          <w:szCs w:val="22"/>
        </w:rPr>
      </w:pPr>
      <w:proofErr w:type="gramStart"/>
      <w:r w:rsidRPr="007D2AC7">
        <w:rPr>
          <w:rFonts w:eastAsia="Times New Roman"/>
        </w:rPr>
        <w:t>В соответствии с требованиями приказа МЗ РФ № 647н «Об утверждении правил надлежащей аптечной практики лекарственных препаратов для медицинского применения» в процессе приемки товаров аптечного ассортимента материально ответственным лицом, осуществляется оценка соответствия принимаемых товаров товаросопроводительной документации по ассортименту, количеству и качеству, соблюдению специальных условий хранения, а также проверка наличия повреждений транспортной тары.</w:t>
      </w:r>
      <w:proofErr w:type="gramEnd"/>
      <w:r w:rsidRPr="007D2AC7">
        <w:rPr>
          <w:rFonts w:eastAsia="Times New Roman"/>
        </w:rPr>
        <w:t xml:space="preserve"> После ставится</w:t>
      </w:r>
      <w:r w:rsidRPr="007D2AC7">
        <w:rPr>
          <w:rFonts w:asciiTheme="minorHAnsi" w:hAnsiTheme="minorHAnsi" w:cstheme="minorBidi"/>
          <w:sz w:val="22"/>
          <w:szCs w:val="22"/>
        </w:rPr>
        <w:t xml:space="preserve"> </w:t>
      </w:r>
      <w:r w:rsidRPr="007D2AC7">
        <w:rPr>
          <w:rFonts w:eastAsia="Times New Roman"/>
        </w:rPr>
        <w:t>штамп приемки, подтверждающий факт соответствия принятых товаров аптечного ассортимента данным, указанным в сопроводительных документах. И</w:t>
      </w:r>
      <w:r w:rsidRPr="007D2AC7">
        <w:rPr>
          <w:rFonts w:asciiTheme="minorHAnsi" w:hAnsiTheme="minorHAnsi" w:cstheme="minorBidi"/>
          <w:sz w:val="22"/>
          <w:szCs w:val="22"/>
        </w:rPr>
        <w:t xml:space="preserve"> </w:t>
      </w:r>
      <w:r w:rsidRPr="007D2AC7">
        <w:rPr>
          <w:rFonts w:eastAsia="Times New Roman"/>
        </w:rPr>
        <w:t>материально ответственное лицо, осуществляющее приемку товаров аптечного ассортимента, ставит свою подпись на сопроводительных документах и заверяет ее печатью субъекта розничной торговли.</w:t>
      </w:r>
      <w:r w:rsidRPr="007D2AC7">
        <w:rPr>
          <w:rFonts w:asciiTheme="minorHAnsi" w:hAnsiTheme="minorHAnsi" w:cstheme="minorBidi"/>
          <w:sz w:val="22"/>
          <w:szCs w:val="22"/>
        </w:rPr>
        <w:t xml:space="preserve"> </w:t>
      </w:r>
    </w:p>
    <w:p w:rsidR="007D2AC7" w:rsidRPr="007D2AC7" w:rsidRDefault="007D2AC7" w:rsidP="007D2AC7">
      <w:pPr>
        <w:suppressAutoHyphens/>
        <w:spacing w:after="0"/>
        <w:ind w:firstLine="709"/>
        <w:rPr>
          <w:rFonts w:eastAsia="Times New Roman"/>
        </w:rPr>
      </w:pPr>
      <w:r w:rsidRPr="007D2AC7">
        <w:rPr>
          <w:rFonts w:eastAsia="Times New Roman"/>
        </w:rPr>
        <w:t>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 недоброкачественных, контрафактных лекарственных препаратов. Для этого создается приемная комиссия.</w:t>
      </w:r>
    </w:p>
    <w:p w:rsidR="007D2AC7" w:rsidRPr="007D2AC7" w:rsidRDefault="007D2AC7" w:rsidP="007D2AC7">
      <w:pPr>
        <w:suppressAutoHyphens/>
        <w:spacing w:after="0"/>
        <w:ind w:firstLine="709"/>
        <w:rPr>
          <w:rFonts w:eastAsia="Times New Roman"/>
        </w:rPr>
      </w:pPr>
      <w:r w:rsidRPr="007D2AC7">
        <w:rPr>
          <w:rFonts w:eastAsia="Times New Roman"/>
        </w:rPr>
        <w:t>Приемочный контроль заключается в проверке поступающих лекарственных препаратов путем оценки:</w:t>
      </w:r>
    </w:p>
    <w:p w:rsidR="007D2AC7" w:rsidRPr="007D2AC7" w:rsidRDefault="007D2AC7" w:rsidP="007D2AC7">
      <w:pPr>
        <w:suppressAutoHyphens/>
        <w:spacing w:after="0"/>
        <w:ind w:firstLine="709"/>
        <w:rPr>
          <w:rFonts w:eastAsia="Times New Roman"/>
        </w:rPr>
      </w:pPr>
      <w:r w:rsidRPr="007D2AC7">
        <w:rPr>
          <w:rFonts w:eastAsia="Times New Roman"/>
        </w:rPr>
        <w:t>а) внешнего вида, цвета, запаха;</w:t>
      </w:r>
    </w:p>
    <w:p w:rsidR="007D2AC7" w:rsidRPr="007D2AC7" w:rsidRDefault="007D2AC7" w:rsidP="007D2AC7">
      <w:pPr>
        <w:suppressAutoHyphens/>
        <w:spacing w:after="0"/>
        <w:ind w:firstLine="709"/>
        <w:rPr>
          <w:rFonts w:eastAsia="Times New Roman"/>
        </w:rPr>
      </w:pPr>
      <w:r w:rsidRPr="007D2AC7">
        <w:rPr>
          <w:rFonts w:eastAsia="Times New Roman"/>
        </w:rPr>
        <w:t>б) целостности упаковки;</w:t>
      </w:r>
    </w:p>
    <w:p w:rsidR="007D2AC7" w:rsidRPr="007D2AC7" w:rsidRDefault="007D2AC7" w:rsidP="007D2AC7">
      <w:pPr>
        <w:suppressAutoHyphens/>
        <w:spacing w:after="0"/>
        <w:ind w:firstLine="709"/>
        <w:rPr>
          <w:rFonts w:eastAsia="Times New Roman"/>
        </w:rPr>
      </w:pPr>
      <w:r w:rsidRPr="007D2AC7">
        <w:rPr>
          <w:rFonts w:eastAsia="Times New Roman"/>
        </w:rPr>
        <w:t>в) соответствия маркировки лекарственных препаратов требованиям, установленным законодательством об обращении лекарственных средств;</w:t>
      </w:r>
    </w:p>
    <w:p w:rsidR="007D2AC7" w:rsidRPr="007D2AC7" w:rsidRDefault="007D2AC7" w:rsidP="007D2AC7">
      <w:pPr>
        <w:suppressAutoHyphens/>
        <w:spacing w:after="0"/>
        <w:ind w:firstLine="709"/>
        <w:rPr>
          <w:rFonts w:eastAsia="Times New Roman"/>
        </w:rPr>
      </w:pPr>
      <w:r w:rsidRPr="007D2AC7">
        <w:rPr>
          <w:rFonts w:eastAsia="Times New Roman"/>
        </w:rPr>
        <w:t>г) правильности оформления сопроводительных документов;</w:t>
      </w:r>
    </w:p>
    <w:p w:rsidR="007D2AC7" w:rsidRPr="007D2AC7" w:rsidRDefault="007D2AC7" w:rsidP="007D2AC7">
      <w:pPr>
        <w:suppressAutoHyphens/>
        <w:spacing w:after="0"/>
        <w:ind w:firstLine="709"/>
        <w:rPr>
          <w:rFonts w:eastAsia="Times New Roman"/>
        </w:rPr>
      </w:pPr>
      <w:r w:rsidRPr="007D2AC7">
        <w:rPr>
          <w:rFonts w:eastAsia="Times New Roman"/>
        </w:rPr>
        <w:t>д) наличия реестра деклараций, подтверждающих качество лекарственных средств, в соответствии с действующими нормативными документами (декларация о соответствии и сертификат соответствия).</w:t>
      </w:r>
    </w:p>
    <w:p w:rsidR="007D2AC7" w:rsidRPr="007D2AC7" w:rsidRDefault="007D2AC7" w:rsidP="007D2AC7">
      <w:pPr>
        <w:suppressAutoHyphens/>
        <w:spacing w:after="0"/>
        <w:ind w:firstLine="709"/>
        <w:rPr>
          <w:rFonts w:eastAsia="Times New Roman"/>
        </w:rPr>
      </w:pPr>
      <w:r w:rsidRPr="007D2AC7">
        <w:rPr>
          <w:rFonts w:eastAsia="Times New Roman"/>
        </w:rPr>
        <w:lastRenderedPageBreak/>
        <w:t xml:space="preserve">Также перед тем, как выставить товар в торговый зал, он распаковывается, осматривается и проверяется наличие необходимой информации о товаре. Продукты лечебного, детского и диетического питания, биологически активные добавки освобождают от тары, оберточных и </w:t>
      </w:r>
      <w:proofErr w:type="spellStart"/>
      <w:r w:rsidRPr="007D2AC7">
        <w:rPr>
          <w:rFonts w:eastAsia="Times New Roman"/>
        </w:rPr>
        <w:t>увязочных</w:t>
      </w:r>
      <w:proofErr w:type="spellEnd"/>
      <w:r w:rsidRPr="007D2AC7">
        <w:rPr>
          <w:rFonts w:eastAsia="Times New Roman"/>
        </w:rPr>
        <w:t xml:space="preserve"> материалов, металлических клипс, и также проверяют внешние признаки и наличие необходимой документации и информации.</w:t>
      </w:r>
      <w:r w:rsidRPr="007D2AC7">
        <w:rPr>
          <w:rFonts w:asciiTheme="minorHAnsi" w:hAnsiTheme="minorHAnsi" w:cstheme="minorBidi"/>
          <w:sz w:val="22"/>
          <w:szCs w:val="22"/>
        </w:rPr>
        <w:t xml:space="preserve"> </w:t>
      </w:r>
      <w:r w:rsidRPr="007D2AC7">
        <w:rPr>
          <w:rFonts w:eastAsia="Times New Roman"/>
        </w:rPr>
        <w:t>Дезинфицирующие средства</w:t>
      </w:r>
      <w:r w:rsidRPr="007D2AC7">
        <w:rPr>
          <w:rFonts w:asciiTheme="minorHAnsi" w:hAnsiTheme="minorHAnsi" w:cstheme="minorBidi"/>
          <w:sz w:val="22"/>
          <w:szCs w:val="22"/>
        </w:rPr>
        <w:t xml:space="preserve"> </w:t>
      </w:r>
      <w:r w:rsidRPr="007D2AC7">
        <w:rPr>
          <w:szCs w:val="22"/>
        </w:rPr>
        <w:t>о</w:t>
      </w:r>
      <w:r w:rsidRPr="007D2AC7">
        <w:rPr>
          <w:rFonts w:eastAsia="Times New Roman"/>
        </w:rPr>
        <w:t>свобождают от транспортной тары, сортируют, проверяют целостность упаковки (в том числе функционирования аэрозольной упаковки) и качество товара по внешним признакам, наличие необходимой информации о дезинфицирующих средствах и его изготовителе, инструкций по применению.</w:t>
      </w:r>
    </w:p>
    <w:p w:rsidR="007D2AC7" w:rsidRPr="007D2AC7" w:rsidRDefault="007D2AC7" w:rsidP="007D2AC7">
      <w:pPr>
        <w:suppressAutoHyphens/>
        <w:spacing w:after="0"/>
        <w:ind w:firstLine="709"/>
        <w:rPr>
          <w:rFonts w:eastAsia="Times New Roman"/>
        </w:rPr>
      </w:pPr>
      <w:r w:rsidRPr="007D2AC7">
        <w:rPr>
          <w:rFonts w:eastAsia="Times New Roman"/>
        </w:rPr>
        <w:t>Перед выпуском в обращение на таможенной территории ТС парфюмерно-косметическая продукция подвергается процедуре оценки соответствия требованиям настоящего технического регламента ТС:</w:t>
      </w:r>
    </w:p>
    <w:p w:rsidR="007D2AC7" w:rsidRPr="007D2AC7" w:rsidRDefault="007D2AC7" w:rsidP="007D2AC7">
      <w:pPr>
        <w:numPr>
          <w:ilvl w:val="0"/>
          <w:numId w:val="1"/>
        </w:numPr>
        <w:suppressAutoHyphens/>
        <w:spacing w:after="0" w:line="276" w:lineRule="auto"/>
        <w:contextualSpacing/>
        <w:jc w:val="left"/>
        <w:rPr>
          <w:rFonts w:eastAsia="Times New Roman"/>
        </w:rPr>
      </w:pPr>
      <w:r w:rsidRPr="007D2AC7">
        <w:rPr>
          <w:rFonts w:eastAsia="Times New Roman"/>
        </w:rPr>
        <w:t>подтверждение соответствия в форме декларирования соответствия парфюмерно-косметической продукции, за исключением продукции, включенной в перечень согласно приложению 12;</w:t>
      </w:r>
    </w:p>
    <w:p w:rsidR="007D2AC7" w:rsidRPr="007D2AC7" w:rsidRDefault="007D2AC7" w:rsidP="007D2AC7">
      <w:pPr>
        <w:numPr>
          <w:ilvl w:val="0"/>
          <w:numId w:val="1"/>
        </w:numPr>
        <w:suppressAutoHyphens/>
        <w:spacing w:after="0" w:line="276" w:lineRule="auto"/>
        <w:contextualSpacing/>
        <w:jc w:val="left"/>
        <w:rPr>
          <w:rFonts w:eastAsia="Times New Roman"/>
        </w:rPr>
      </w:pPr>
      <w:r w:rsidRPr="007D2AC7">
        <w:rPr>
          <w:rFonts w:eastAsia="Times New Roman"/>
        </w:rPr>
        <w:t>государственная регистрация парфюмерно-косметической продукции, включенной в перечень, предусмотренный приложением 12 к настоящему техническому регламенту ТС.</w:t>
      </w:r>
    </w:p>
    <w:p w:rsidR="007D2AC7" w:rsidRPr="007D2AC7" w:rsidRDefault="007D2AC7" w:rsidP="007D2AC7">
      <w:pPr>
        <w:suppressAutoHyphens/>
        <w:spacing w:after="0"/>
        <w:ind w:firstLine="709"/>
        <w:rPr>
          <w:rFonts w:eastAsia="Times New Roman"/>
        </w:rPr>
      </w:pPr>
      <w:r w:rsidRPr="007D2AC7">
        <w:rPr>
          <w:rFonts w:eastAsia="Times New Roman"/>
        </w:rPr>
        <w:t>Если парфюмерно-косметическая продукция соответствует требованиям настоящего технического регламента таможенного союза и прошла процедуру оценки соответствия настоящему техническому регламенту, то члены данного союза осуществляют маркировку единым знаком обращения продукции на рынке государств на каждую единицу продукции. Единый знак наносится любым способом, обеспечивающим четкое и ясное изображение в течение всего срока годности парфюмерно-косметической продукции. И после выпускается в обращение на рынок.</w:t>
      </w:r>
    </w:p>
    <w:p w:rsidR="007D2AC7" w:rsidRPr="007D2AC7" w:rsidRDefault="007D2AC7" w:rsidP="007D2AC7">
      <w:pPr>
        <w:suppressAutoHyphens/>
        <w:spacing w:after="0"/>
        <w:ind w:firstLine="709"/>
        <w:rPr>
          <w:rFonts w:eastAsia="Times New Roman"/>
        </w:rPr>
      </w:pPr>
      <w:r w:rsidRPr="007D2AC7">
        <w:rPr>
          <w:rFonts w:eastAsia="Times New Roman"/>
        </w:rPr>
        <w:t>Если продукция не соответствует требованиям, то она не маркируется и не реализуется на рынке.</w:t>
      </w:r>
    </w:p>
    <w:p w:rsidR="007D2AC7" w:rsidRPr="007D2AC7" w:rsidRDefault="007D2AC7" w:rsidP="007D2AC7">
      <w:pPr>
        <w:suppressAutoHyphens/>
        <w:spacing w:after="0"/>
        <w:ind w:firstLine="709"/>
        <w:rPr>
          <w:rFonts w:eastAsia="Times New Roman"/>
        </w:rPr>
      </w:pPr>
      <w:r w:rsidRPr="007D2AC7">
        <w:rPr>
          <w:rFonts w:eastAsia="Times New Roman"/>
        </w:rPr>
        <w:lastRenderedPageBreak/>
        <w:t>Идентификация парфюмерно-косметической продукции в целях применения настоящего технического регламента ТС проводится по техническим документам, и/или договорам поставки, и/или спецификациям, и/или этикеткам, и/или аннотациям и другим документам, характеризующим продукцию.</w:t>
      </w:r>
    </w:p>
    <w:p w:rsidR="007D2AC7" w:rsidRPr="007D2AC7" w:rsidRDefault="007D2AC7" w:rsidP="007D2AC7">
      <w:pPr>
        <w:suppressAutoHyphens/>
        <w:spacing w:after="0"/>
        <w:ind w:firstLine="709"/>
        <w:rPr>
          <w:rFonts w:eastAsia="Times New Roman"/>
        </w:rPr>
      </w:pPr>
      <w:r w:rsidRPr="007D2AC7">
        <w:rPr>
          <w:rFonts w:eastAsia="Times New Roman"/>
        </w:rPr>
        <w:t>Безопасность парфюмерно-косметической продукции обеспечивается совокупностью требований:</w:t>
      </w:r>
    </w:p>
    <w:p w:rsidR="007D2AC7" w:rsidRPr="007D2AC7" w:rsidRDefault="007D2AC7" w:rsidP="007D2AC7">
      <w:pPr>
        <w:suppressAutoHyphens/>
        <w:spacing w:after="0"/>
        <w:ind w:firstLine="709"/>
        <w:rPr>
          <w:rFonts w:eastAsia="Times New Roman"/>
        </w:rPr>
      </w:pPr>
      <w:r w:rsidRPr="007D2AC7">
        <w:rPr>
          <w:rFonts w:eastAsia="Times New Roman"/>
        </w:rPr>
        <w:t>1) к составу;</w:t>
      </w:r>
    </w:p>
    <w:p w:rsidR="007D2AC7" w:rsidRPr="007D2AC7" w:rsidRDefault="007D2AC7" w:rsidP="007D2AC7">
      <w:pPr>
        <w:suppressAutoHyphens/>
        <w:spacing w:after="0"/>
        <w:ind w:firstLine="709"/>
        <w:rPr>
          <w:rFonts w:eastAsia="Times New Roman"/>
        </w:rPr>
      </w:pPr>
      <w:r w:rsidRPr="007D2AC7">
        <w:rPr>
          <w:rFonts w:eastAsia="Times New Roman"/>
        </w:rPr>
        <w:t>2) к физико-химическим показателям;</w:t>
      </w:r>
    </w:p>
    <w:p w:rsidR="007D2AC7" w:rsidRPr="007D2AC7" w:rsidRDefault="007D2AC7" w:rsidP="007D2AC7">
      <w:pPr>
        <w:suppressAutoHyphens/>
        <w:spacing w:after="0"/>
        <w:ind w:firstLine="709"/>
        <w:rPr>
          <w:rFonts w:eastAsia="Times New Roman"/>
        </w:rPr>
      </w:pPr>
      <w:r w:rsidRPr="007D2AC7">
        <w:rPr>
          <w:rFonts w:eastAsia="Times New Roman"/>
        </w:rPr>
        <w:t>3) к микробиологическим показателям;</w:t>
      </w:r>
    </w:p>
    <w:p w:rsidR="007D2AC7" w:rsidRPr="007D2AC7" w:rsidRDefault="007D2AC7" w:rsidP="007D2AC7">
      <w:pPr>
        <w:suppressAutoHyphens/>
        <w:spacing w:after="0"/>
        <w:ind w:firstLine="709"/>
        <w:rPr>
          <w:rFonts w:eastAsia="Times New Roman"/>
        </w:rPr>
      </w:pPr>
      <w:r w:rsidRPr="007D2AC7">
        <w:rPr>
          <w:rFonts w:eastAsia="Times New Roman"/>
        </w:rPr>
        <w:t>4) к содержанию токсичных элементов;</w:t>
      </w:r>
    </w:p>
    <w:p w:rsidR="007D2AC7" w:rsidRPr="007D2AC7" w:rsidRDefault="007D2AC7" w:rsidP="007D2AC7">
      <w:pPr>
        <w:suppressAutoHyphens/>
        <w:spacing w:after="0"/>
        <w:ind w:firstLine="709"/>
        <w:rPr>
          <w:rFonts w:eastAsia="Times New Roman"/>
        </w:rPr>
      </w:pPr>
      <w:r w:rsidRPr="007D2AC7">
        <w:rPr>
          <w:rFonts w:eastAsia="Times New Roman"/>
        </w:rPr>
        <w:t>5) к токсикологическим показателям;</w:t>
      </w:r>
    </w:p>
    <w:p w:rsidR="007D2AC7" w:rsidRPr="007D2AC7" w:rsidRDefault="007D2AC7" w:rsidP="007D2AC7">
      <w:pPr>
        <w:suppressAutoHyphens/>
        <w:spacing w:after="0"/>
        <w:ind w:firstLine="709"/>
        <w:rPr>
          <w:rFonts w:eastAsia="Times New Roman"/>
        </w:rPr>
      </w:pPr>
      <w:r w:rsidRPr="007D2AC7">
        <w:rPr>
          <w:rFonts w:eastAsia="Times New Roman"/>
        </w:rPr>
        <w:t>6) к клиническим (клинико-лабораторным) показателям;</w:t>
      </w:r>
    </w:p>
    <w:p w:rsidR="007D2AC7" w:rsidRPr="007D2AC7" w:rsidRDefault="007D2AC7" w:rsidP="007D2AC7">
      <w:pPr>
        <w:suppressAutoHyphens/>
        <w:spacing w:after="0"/>
        <w:ind w:firstLine="709"/>
        <w:rPr>
          <w:rFonts w:eastAsia="Times New Roman"/>
        </w:rPr>
      </w:pPr>
      <w:r w:rsidRPr="007D2AC7">
        <w:rPr>
          <w:rFonts w:eastAsia="Times New Roman"/>
        </w:rPr>
        <w:t>7) к производству;</w:t>
      </w:r>
    </w:p>
    <w:p w:rsidR="007D2AC7" w:rsidRPr="007D2AC7" w:rsidRDefault="007D2AC7" w:rsidP="007D2AC7">
      <w:pPr>
        <w:suppressAutoHyphens/>
        <w:spacing w:after="0"/>
        <w:ind w:firstLine="709"/>
        <w:rPr>
          <w:rFonts w:eastAsia="Times New Roman"/>
        </w:rPr>
      </w:pPr>
      <w:r w:rsidRPr="007D2AC7">
        <w:rPr>
          <w:rFonts w:eastAsia="Times New Roman"/>
        </w:rPr>
        <w:t>8) к потребительской таре;</w:t>
      </w:r>
    </w:p>
    <w:p w:rsidR="007D2AC7" w:rsidRPr="007D2AC7" w:rsidRDefault="007D2AC7" w:rsidP="007D2AC7">
      <w:pPr>
        <w:suppressAutoHyphens/>
        <w:spacing w:after="0"/>
        <w:ind w:firstLine="709"/>
        <w:rPr>
          <w:rFonts w:eastAsia="Times New Roman"/>
        </w:rPr>
      </w:pPr>
      <w:r w:rsidRPr="007D2AC7">
        <w:rPr>
          <w:rFonts w:eastAsia="Times New Roman"/>
        </w:rPr>
        <w:t>9) к маркировке продукции.</w:t>
      </w:r>
    </w:p>
    <w:p w:rsidR="008D0EFE" w:rsidRDefault="008D0EFE">
      <w:bookmarkStart w:id="1" w:name="_GoBack"/>
      <w:bookmarkEnd w:id="1"/>
    </w:p>
    <w:sectPr w:rsidR="008D0EFE" w:rsidSect="007D2A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195B"/>
    <w:multiLevelType w:val="hybridMultilevel"/>
    <w:tmpl w:val="708047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C5"/>
    <w:rsid w:val="00415F72"/>
    <w:rsid w:val="006F0EFA"/>
    <w:rsid w:val="007D2AC7"/>
    <w:rsid w:val="007F4CD5"/>
    <w:rsid w:val="008D0EFE"/>
    <w:rsid w:val="00BA091A"/>
    <w:rsid w:val="00C0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72"/>
    <w:pPr>
      <w:spacing w:line="360" w:lineRule="auto"/>
      <w:jc w:val="both"/>
    </w:pPr>
    <w:rPr>
      <w:rFonts w:ascii="Times New Roman" w:hAnsi="Times New Roman" w:cs="Times New Roman"/>
      <w:sz w:val="28"/>
      <w:szCs w:val="28"/>
    </w:rPr>
  </w:style>
  <w:style w:type="paragraph" w:styleId="1">
    <w:name w:val="heading 1"/>
    <w:aliases w:val="Подзаголовок !"/>
    <w:basedOn w:val="a"/>
    <w:next w:val="a"/>
    <w:link w:val="10"/>
    <w:uiPriority w:val="9"/>
    <w:qFormat/>
    <w:rsid w:val="006F0EFA"/>
    <w:pPr>
      <w:keepNext/>
      <w:keepLines/>
      <w:spacing w:before="480" w:after="0"/>
      <w:jc w:val="center"/>
      <w:outlineLvl w:val="0"/>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заголовок ! Знак"/>
    <w:basedOn w:val="a0"/>
    <w:link w:val="1"/>
    <w:uiPriority w:val="9"/>
    <w:rsid w:val="006F0EFA"/>
    <w:rPr>
      <w:rFonts w:ascii="Times New Roman" w:eastAsiaTheme="majorEastAsia" w:hAnsi="Times New Roman" w:cstheme="majorBidi"/>
      <w:b/>
      <w:bCs/>
      <w:color w:val="000000" w:themeColor="text1"/>
      <w:sz w:val="28"/>
      <w:szCs w:val="28"/>
    </w:rPr>
  </w:style>
  <w:style w:type="paragraph" w:styleId="a3">
    <w:name w:val="No Spacing"/>
    <w:aliases w:val="Заголовк"/>
    <w:basedOn w:val="1"/>
    <w:uiPriority w:val="1"/>
    <w:qFormat/>
    <w:rsid w:val="00BA0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72"/>
    <w:pPr>
      <w:spacing w:line="360" w:lineRule="auto"/>
      <w:jc w:val="both"/>
    </w:pPr>
    <w:rPr>
      <w:rFonts w:ascii="Times New Roman" w:hAnsi="Times New Roman" w:cs="Times New Roman"/>
      <w:sz w:val="28"/>
      <w:szCs w:val="28"/>
    </w:rPr>
  </w:style>
  <w:style w:type="paragraph" w:styleId="1">
    <w:name w:val="heading 1"/>
    <w:aliases w:val="Подзаголовок !"/>
    <w:basedOn w:val="a"/>
    <w:next w:val="a"/>
    <w:link w:val="10"/>
    <w:uiPriority w:val="9"/>
    <w:qFormat/>
    <w:rsid w:val="006F0EFA"/>
    <w:pPr>
      <w:keepNext/>
      <w:keepLines/>
      <w:spacing w:before="480" w:after="0"/>
      <w:jc w:val="center"/>
      <w:outlineLvl w:val="0"/>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заголовок ! Знак"/>
    <w:basedOn w:val="a0"/>
    <w:link w:val="1"/>
    <w:uiPriority w:val="9"/>
    <w:rsid w:val="006F0EFA"/>
    <w:rPr>
      <w:rFonts w:ascii="Times New Roman" w:eastAsiaTheme="majorEastAsia" w:hAnsi="Times New Roman" w:cstheme="majorBidi"/>
      <w:b/>
      <w:bCs/>
      <w:color w:val="000000" w:themeColor="text1"/>
      <w:sz w:val="28"/>
      <w:szCs w:val="28"/>
    </w:rPr>
  </w:style>
  <w:style w:type="paragraph" w:styleId="a3">
    <w:name w:val="No Spacing"/>
    <w:aliases w:val="Заголовк"/>
    <w:basedOn w:val="1"/>
    <w:uiPriority w:val="1"/>
    <w:qFormat/>
    <w:rsid w:val="00BA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Company>SPecialiST RePack</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2</cp:revision>
  <dcterms:created xsi:type="dcterms:W3CDTF">2020-05-24T06:58:00Z</dcterms:created>
  <dcterms:modified xsi:type="dcterms:W3CDTF">2020-05-24T06:59:00Z</dcterms:modified>
</cp:coreProperties>
</file>