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74" w:rsidRDefault="000C407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C4074" w:rsidRDefault="000C4074">
      <w:pPr>
        <w:pStyle w:val="ConsPlusNormal"/>
        <w:jc w:val="both"/>
        <w:outlineLvl w:val="0"/>
      </w:pPr>
    </w:p>
    <w:p w:rsidR="000C4074" w:rsidRDefault="000C4074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0C4074" w:rsidRDefault="000C4074">
      <w:pPr>
        <w:pStyle w:val="ConsPlusTitle"/>
        <w:jc w:val="center"/>
      </w:pPr>
    </w:p>
    <w:p w:rsidR="000C4074" w:rsidRDefault="000C4074">
      <w:pPr>
        <w:pStyle w:val="ConsPlusTitle"/>
        <w:jc w:val="center"/>
      </w:pPr>
      <w:r>
        <w:t>ПИСЬМО</w:t>
      </w:r>
    </w:p>
    <w:p w:rsidR="000C4074" w:rsidRDefault="000C4074">
      <w:pPr>
        <w:pStyle w:val="ConsPlusTitle"/>
        <w:jc w:val="center"/>
      </w:pPr>
      <w:r>
        <w:t>от 12 февраля 2024 г. N 28-7/10/В-2237</w:t>
      </w:r>
    </w:p>
    <w:p w:rsidR="000C4074" w:rsidRDefault="000C4074">
      <w:pPr>
        <w:pStyle w:val="ConsPlusNormal"/>
        <w:ind w:firstLine="540"/>
        <w:jc w:val="both"/>
      </w:pPr>
    </w:p>
    <w:p w:rsidR="000C4074" w:rsidRDefault="000C4074">
      <w:pPr>
        <w:pStyle w:val="ConsPlusNormal"/>
        <w:ind w:firstLine="540"/>
        <w:jc w:val="both"/>
      </w:pPr>
      <w:r>
        <w:t>Министерство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сообщает, что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сведения) в 2024 году (за отчетный 2023 год) размещены на официальном сайте Минтруда России в информационно-телекоммуникационной сети "Интернет" в подразделе "Представление сведений о доходах, расходах, об имуществе и обязательствах имущественного характера" раздела "Деятельность/Государственное управление/Политика в сфере противодействия коррупции/Методические материалы по вопросам противодействия коррупции" и доступны для скачивания и ознакомления по ссылке: https://fexch.mintrud.gov.ru/s/PSaecEPzBi368YH, а также в ближайшее время будут размещены по ссылке: https://mintrud.gov.ru/ministry/programms/anticorruption/9/5.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Размещение Методических рекомендаций за отчетный 2023 год в формате .pdf планируется также по указанным ссылкам.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 xml:space="preserve">Дополнительно направляем основные </w:t>
      </w:r>
      <w:hyperlink w:anchor="P33">
        <w:r>
          <w:rPr>
            <w:color w:val="0000FF"/>
          </w:rPr>
          <w:t>новеллы</w:t>
        </w:r>
      </w:hyperlink>
      <w:r>
        <w:t>, на которые следует обратить внимание при использовании Методических рекомендаций за отчетный 2023 год (прилагаются).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 xml:space="preserve">Отмечаем, что Методические </w:t>
      </w:r>
      <w:hyperlink r:id="rId6">
        <w:r>
          <w:rPr>
            <w:color w:val="0000FF"/>
          </w:rPr>
          <w:t>рекомендации</w:t>
        </w:r>
      </w:hyperlink>
      <w:r>
        <w:t xml:space="preserve"> за отчетный 2022 год, направленные письмом Минтруда России от 30 декабря 2022 г. N 28-6/10/В-18597, подлежали использованию только в отношении сведений, представляемых в ходе декларационной кампании 2023 года.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Просим довести положения Методических рекомендаций за отчетный 2023 год до 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Дополнительно сообщаем, что Минтрудом России планируется проведение совещания с использованием видеоконференцсвязи с должностными лицами, ответственными за работу по профилактике коррупционных и иных правонарушений (далее - должностные лица), по вопросам применения Методических рекомендаций за отчетный 2023 год: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28 февраля 2024 г. в 10:00 по московскому времени - с должностными лицами центральных аппаратов федеральных государственных органов и организаций, ответственными за работу по профилактике коррупционных и иных правонарушений;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 xml:space="preserve">29 февраля 2024 г. в 10:00 по московскому времени - с должностными лицами органов субъектов Российской Федерации по профилактике коррупционных и иных правонарушений, образованных с учетом положений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 xml:space="preserve">В целях подготовки к совещанию просим в срок до 20 февраля 2024 г. заполнить форму, </w:t>
      </w:r>
      <w:r>
        <w:lastRenderedPageBreak/>
        <w:t>размещенную в информационно-телекоммуникационной сети "Интернет" по ссылке: https://forms.yandex.ru/u/65b781985056900e4137e96f/.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Обращаем внимание, что на совещании планируется преимущественно рассматривать вопросы, поступившие в рамках заполнения указанной формы.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Учитывая ограничения, предусмотренные применяемой Минтрудом России платформой, количество подключений от одного государственного органа (организации) ограничено 1 (одним) подключением.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Также не представляется возможным подключить к указанным совещаниям представителей территориальных органов государственных органов, иных органов исполнительной власти субъектов Российской Федерации (за исключением обозначенных выше), органов местного самоуправления и организаций, которые не являются адресатами настоящего письма.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Вместе с тем планируется осуществить запись трансляций совещаний для их последующего распространения.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В связи с этим представители органов публичной власти и организаций, которые не смогут принять участие в совещаниях в связи с обозначенными ограничениями, могут заполнить форму и оставить свои вопросы для получения надлежащих ответов в рамках совещаний и рабочего взаимодействия, а также для последующего получения записи мероприятий.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Контактными лицами от Минтруда России определены: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- Боченина Алина Александровна, раб. тел.: 8 (495) 587-88-89, доб.: 2871; эл. почта: Bochenina_AA@mintrud.gov.ru;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- Агапова Юлия Сергеевна, раб. тел.: 8 (495) 587-88-89, доб.: 2862; эл. почта: Agapova_IuS@mintrud.gov.ru;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- Кремнев Даниил Сергеевич, раб. тел.: 8 (495) 587-88-89, доб.: 2879; эл. почта: Kremnev_DS@mintrud.gov.ru.</w:t>
      </w:r>
    </w:p>
    <w:p w:rsidR="000C4074" w:rsidRDefault="000C4074">
      <w:pPr>
        <w:pStyle w:val="ConsPlusNormal"/>
        <w:ind w:firstLine="540"/>
        <w:jc w:val="both"/>
      </w:pPr>
    </w:p>
    <w:p w:rsidR="000C4074" w:rsidRDefault="000C4074">
      <w:pPr>
        <w:pStyle w:val="ConsPlusNormal"/>
        <w:jc w:val="right"/>
      </w:pPr>
      <w:r>
        <w:t>М.С.АБДУЛХАЛИМОВ</w:t>
      </w:r>
    </w:p>
    <w:p w:rsidR="000C4074" w:rsidRDefault="000C4074">
      <w:pPr>
        <w:pStyle w:val="ConsPlusNormal"/>
        <w:ind w:firstLine="540"/>
        <w:jc w:val="both"/>
      </w:pPr>
    </w:p>
    <w:p w:rsidR="000C4074" w:rsidRDefault="000C4074">
      <w:pPr>
        <w:pStyle w:val="ConsPlusNormal"/>
        <w:ind w:firstLine="540"/>
        <w:jc w:val="both"/>
      </w:pPr>
    </w:p>
    <w:p w:rsidR="000C4074" w:rsidRDefault="000C4074">
      <w:pPr>
        <w:pStyle w:val="ConsPlusNormal"/>
        <w:ind w:firstLine="540"/>
        <w:jc w:val="both"/>
      </w:pPr>
    </w:p>
    <w:p w:rsidR="000C4074" w:rsidRDefault="000C4074">
      <w:pPr>
        <w:pStyle w:val="ConsPlusNormal"/>
        <w:ind w:firstLine="540"/>
        <w:jc w:val="both"/>
      </w:pPr>
    </w:p>
    <w:p w:rsidR="000C4074" w:rsidRDefault="000C4074">
      <w:pPr>
        <w:pStyle w:val="ConsPlusNormal"/>
        <w:ind w:firstLine="540"/>
        <w:jc w:val="both"/>
      </w:pPr>
    </w:p>
    <w:p w:rsidR="000C4074" w:rsidRDefault="000C4074">
      <w:pPr>
        <w:pStyle w:val="ConsPlusNormal"/>
        <w:jc w:val="right"/>
        <w:outlineLvl w:val="0"/>
      </w:pPr>
      <w:r>
        <w:t>Приложение</w:t>
      </w:r>
    </w:p>
    <w:p w:rsidR="000C4074" w:rsidRDefault="000C4074">
      <w:pPr>
        <w:pStyle w:val="ConsPlusNormal"/>
        <w:ind w:firstLine="540"/>
        <w:jc w:val="both"/>
      </w:pPr>
    </w:p>
    <w:p w:rsidR="000C4074" w:rsidRDefault="000C4074">
      <w:pPr>
        <w:pStyle w:val="ConsPlusTitle"/>
        <w:jc w:val="center"/>
      </w:pPr>
      <w:bookmarkStart w:id="0" w:name="P33"/>
      <w:bookmarkEnd w:id="0"/>
      <w:r>
        <w:t>ОСНОВНЫЕ НОВЕЛЛЫ</w:t>
      </w:r>
    </w:p>
    <w:p w:rsidR="000C4074" w:rsidRDefault="000C4074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0C4074" w:rsidRDefault="000C4074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C4074" w:rsidRDefault="000C4074">
      <w:pPr>
        <w:pStyle w:val="ConsPlusTitle"/>
        <w:jc w:val="center"/>
      </w:pPr>
      <w:r>
        <w:t>ИМУЩЕСТВЕННОГО ХАРАКТЕРА И ЗАПОЛНЕНИЯ СООТВЕТСТВУЮЩЕЙ</w:t>
      </w:r>
    </w:p>
    <w:p w:rsidR="000C4074" w:rsidRDefault="000C4074">
      <w:pPr>
        <w:pStyle w:val="ConsPlusTitle"/>
        <w:jc w:val="center"/>
      </w:pPr>
      <w:r>
        <w:t>ФОРМЫ СПРАВКИ В 2024 ГОДУ (ЗА ОТЧЕТНЫЙ 2023 ГОД)</w:t>
      </w:r>
    </w:p>
    <w:p w:rsidR="000C4074" w:rsidRDefault="000C4074">
      <w:pPr>
        <w:pStyle w:val="ConsPlusNormal"/>
        <w:ind w:firstLine="540"/>
        <w:jc w:val="both"/>
      </w:pPr>
    </w:p>
    <w:p w:rsidR="000C4074" w:rsidRDefault="000C4074">
      <w:pPr>
        <w:pStyle w:val="ConsPlusNormal"/>
        <w:ind w:firstLine="540"/>
        <w:jc w:val="both"/>
      </w:pPr>
      <w: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 xml:space="preserve"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</w:t>
      </w:r>
      <w:r>
        <w:lastRenderedPageBreak/>
        <w:t>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При использовании указанных Методических рекомендаций предлагается обратить внимание на следующие изменения.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 xml:space="preserve">1. Отражены особенности, связанные с положениями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6 февраля 2023 г.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Российской Федерации от 6 декабря 2022 г. N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Российской Федерации от 22 января 2024 г. N 61 "О федеральном кадровом резерве на государственной гражданской службе Российской Федерации".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 xml:space="preserve">2. 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(https://mintrud.gov.ru/ministry/programms/anticorruption/9/23), а также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(https://mintrud.gov.ru/ministry/programms/anticorruption/9/24).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 xml:space="preserve">3. Отмечена необходимость корректного указания отчетной даты, даты печати и представления </w:t>
      </w:r>
      <w:hyperlink r:id="rId13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N 460 (далее - справка).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5. Предусмотрено допустимое отражение информации о должностях супругов, замещающих должности военной службы.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 xml:space="preserve">7. Отмечено, что не подлежат отражению в справке сведения, содержащиеся в информации, полученной в рамках </w:t>
      </w:r>
      <w:hyperlink r:id="rId14">
        <w:r>
          <w:rPr>
            <w:color w:val="0000FF"/>
          </w:rPr>
          <w:t>Указания</w:t>
        </w:r>
      </w:hyperlink>
      <w:r>
        <w:t xml:space="preserve"> Банка России от 27 мая 2021 г. N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 xml:space="preserve">8. Подчеркнуто, что в </w:t>
      </w:r>
      <w:hyperlink r:id="rId15">
        <w:r>
          <w:rPr>
            <w:color w:val="0000FF"/>
          </w:rPr>
          <w:t>графе</w:t>
        </w:r>
      </w:hyperlink>
      <w:r>
        <w:t xml:space="preserve"> "Сумма сделки (руб.)" раздела 2 справки указывается сумма </w:t>
      </w:r>
      <w:r>
        <w:lastRenderedPageBreak/>
        <w:t>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 xml:space="preserve">9. Указано на необходимость отражения в </w:t>
      </w:r>
      <w:hyperlink r:id="rId16">
        <w:r>
          <w:rPr>
            <w:color w:val="0000FF"/>
          </w:rPr>
          <w:t>разделе 4</w:t>
        </w:r>
      </w:hyperlink>
      <w:r>
        <w:t xml:space="preserve"> справки именно счетов, а не карт, а также на особенность отражения счетов, открытых в иностранных банках.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10. Определены особенности отражения счета цифрового рубля.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 xml:space="preserve">11. Скорректирована информация о порядке заполнения </w:t>
      </w:r>
      <w:hyperlink r:id="rId17">
        <w:r>
          <w:rPr>
            <w:color w:val="0000FF"/>
          </w:rPr>
          <w:t>графы</w:t>
        </w:r>
      </w:hyperlink>
      <w:r>
        <w:t xml:space="preserve"> "Сумма поступивших на счет денежных средств" раздела 4 справки в соответствии с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Российской Федерации от 25 января 2024 г. N 71 "О внесении изменений в некоторые акты Президента Российской Федерации".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 xml:space="preserve">12. Указано на отсутствие необходимости отражать в </w:t>
      </w:r>
      <w:hyperlink r:id="rId19">
        <w:r>
          <w:rPr>
            <w:color w:val="0000FF"/>
          </w:rPr>
          <w:t>разделе 4</w:t>
        </w:r>
      </w:hyperlink>
      <w:r>
        <w:t xml:space="preserve"> справки электронные средства платежа.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 xml:space="preserve">13. Обращено внимание, что в </w:t>
      </w:r>
      <w:hyperlink r:id="rId20">
        <w:r>
          <w:rPr>
            <w:color w:val="0000FF"/>
          </w:rPr>
          <w:t>графе</w:t>
        </w:r>
      </w:hyperlink>
      <w:r>
        <w:t xml:space="preserve">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</w:t>
      </w:r>
      <w:bookmarkStart w:id="1" w:name="_GoBack"/>
      <w:bookmarkEnd w:id="1"/>
      <w:r>
        <w:t>ым договором долевого участия.</w:t>
      </w:r>
    </w:p>
    <w:p w:rsidR="000C4074" w:rsidRDefault="000C4074">
      <w:pPr>
        <w:pStyle w:val="ConsPlusNormal"/>
        <w:spacing w:before="220"/>
        <w:ind w:firstLine="540"/>
        <w:jc w:val="both"/>
      </w:pPr>
      <w:r>
        <w:t>14. Актуализированы иные положения с учетом изменений нормативных правовых актов Российской Федерации.</w:t>
      </w:r>
    </w:p>
    <w:p w:rsidR="000C4074" w:rsidRDefault="000C4074">
      <w:pPr>
        <w:pStyle w:val="ConsPlusNormal"/>
        <w:jc w:val="both"/>
      </w:pPr>
    </w:p>
    <w:p w:rsidR="000C4074" w:rsidRDefault="000C4074">
      <w:pPr>
        <w:pStyle w:val="ConsPlusNormal"/>
        <w:jc w:val="both"/>
      </w:pPr>
    </w:p>
    <w:p w:rsidR="000C4074" w:rsidRDefault="000C40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978" w:rsidRDefault="000C4074"/>
    <w:sectPr w:rsidR="00DB2978" w:rsidSect="00C5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74"/>
    <w:rsid w:val="000C4074"/>
    <w:rsid w:val="004F5174"/>
    <w:rsid w:val="009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0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40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40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0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40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40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126" TargetMode="External"/><Relationship Id="rId13" Type="http://schemas.openxmlformats.org/officeDocument/2006/relationships/hyperlink" Target="https://login.consultant.ru/link/?req=doc&amp;base=LAW&amp;n=468048&amp;dst=100045" TargetMode="External"/><Relationship Id="rId18" Type="http://schemas.openxmlformats.org/officeDocument/2006/relationships/hyperlink" Target="https://login.consultant.ru/link/?req=doc&amp;base=LAW&amp;n=46799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50727" TargetMode="External"/><Relationship Id="rId12" Type="http://schemas.openxmlformats.org/officeDocument/2006/relationships/hyperlink" Target="https://login.consultant.ru/link/?req=doc&amp;base=LAW&amp;n=436144" TargetMode="External"/><Relationship Id="rId17" Type="http://schemas.openxmlformats.org/officeDocument/2006/relationships/hyperlink" Target="https://login.consultant.ru/link/?req=doc&amp;base=LAW&amp;n=468048&amp;dst=1001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8048&amp;dst=100175" TargetMode="External"/><Relationship Id="rId20" Type="http://schemas.openxmlformats.org/officeDocument/2006/relationships/hyperlink" Target="https://login.consultant.ru/link/?req=doc&amp;base=LAW&amp;n=468048&amp;dst=10025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7687&amp;dst=100013" TargetMode="External"/><Relationship Id="rId11" Type="http://schemas.openxmlformats.org/officeDocument/2006/relationships/hyperlink" Target="https://login.consultant.ru/link/?req=doc&amp;base=LAW&amp;n=46769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8048&amp;dst=36" TargetMode="External"/><Relationship Id="rId10" Type="http://schemas.openxmlformats.org/officeDocument/2006/relationships/hyperlink" Target="https://login.consultant.ru/link/?req=doc&amp;base=LAW&amp;n=436144" TargetMode="External"/><Relationship Id="rId19" Type="http://schemas.openxmlformats.org/officeDocument/2006/relationships/hyperlink" Target="https://login.consultant.ru/link/?req=doc&amp;base=LAW&amp;n=468048&amp;dst=100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366" TargetMode="External"/><Relationship Id="rId14" Type="http://schemas.openxmlformats.org/officeDocument/2006/relationships/hyperlink" Target="https://login.consultant.ru/link/?req=doc&amp;base=LAW&amp;n=38980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Е. Шелудько</dc:creator>
  <cp:lastModifiedBy>Юлия Е. Шелудько</cp:lastModifiedBy>
  <cp:revision>1</cp:revision>
  <dcterms:created xsi:type="dcterms:W3CDTF">2024-02-16T06:38:00Z</dcterms:created>
  <dcterms:modified xsi:type="dcterms:W3CDTF">2024-02-16T06:39:00Z</dcterms:modified>
</cp:coreProperties>
</file>