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6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» Министерства здравоохранения Российской Федерации.</w:t>
      </w: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КАФЕДРА</w:t>
      </w:r>
    </w:p>
    <w:p w:rsidR="00F13898" w:rsidRPr="005F3FC6" w:rsidRDefault="00F13898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ЛОР-болезней с курсом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662724" w:rsidRPr="005F3FC6" w:rsidRDefault="00662724" w:rsidP="00662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898" w:rsidRPr="005F3FC6" w:rsidRDefault="00F13898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Рецензия &lt;</w:t>
      </w:r>
      <w:r w:rsidR="002B1F8C" w:rsidRPr="005F3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C7A21">
        <w:rPr>
          <w:rFonts w:ascii="Times New Roman" w:hAnsi="Times New Roman" w:cs="Times New Roman"/>
          <w:sz w:val="24"/>
          <w:szCs w:val="28"/>
        </w:rPr>
        <w:t>к.м</w:t>
      </w:r>
      <w:proofErr w:type="gramStart"/>
      <w:r w:rsidR="000C7A21">
        <w:rPr>
          <w:rFonts w:ascii="Times New Roman" w:hAnsi="Times New Roman" w:cs="Times New Roman"/>
          <w:sz w:val="24"/>
          <w:szCs w:val="28"/>
        </w:rPr>
        <w:t>.н</w:t>
      </w:r>
      <w:proofErr w:type="spellEnd"/>
      <w:proofErr w:type="gramEnd"/>
      <w:r w:rsidR="000C7A21">
        <w:rPr>
          <w:rFonts w:ascii="Times New Roman" w:hAnsi="Times New Roman" w:cs="Times New Roman"/>
          <w:sz w:val="24"/>
          <w:szCs w:val="28"/>
        </w:rPr>
        <w:t>, доцента кафедры ЛОР-болезней с курсом ПО Петровой М.А.</w:t>
      </w:r>
      <w:r w:rsidRPr="005F3FC6">
        <w:rPr>
          <w:rFonts w:ascii="Times New Roman" w:hAnsi="Times New Roman" w:cs="Times New Roman"/>
          <w:sz w:val="24"/>
          <w:szCs w:val="28"/>
        </w:rPr>
        <w:t>&gt;  на реферат ординатора первого года обучения специальности Оториноларингология &lt;</w:t>
      </w:r>
      <w:proofErr w:type="spellStart"/>
      <w:r w:rsidR="00674499" w:rsidRPr="005F3FC6">
        <w:rPr>
          <w:rFonts w:ascii="Times New Roman" w:hAnsi="Times New Roman" w:cs="Times New Roman"/>
          <w:sz w:val="24"/>
          <w:szCs w:val="28"/>
        </w:rPr>
        <w:t>Нестеришиной</w:t>
      </w:r>
      <w:proofErr w:type="spellEnd"/>
      <w:r w:rsidR="00674499" w:rsidRPr="005F3FC6">
        <w:rPr>
          <w:rFonts w:ascii="Times New Roman" w:hAnsi="Times New Roman" w:cs="Times New Roman"/>
          <w:sz w:val="24"/>
          <w:szCs w:val="28"/>
        </w:rPr>
        <w:t xml:space="preserve"> Ольги Евгеньевны</w:t>
      </w:r>
      <w:r w:rsidRPr="005F3FC6">
        <w:rPr>
          <w:rFonts w:ascii="Times New Roman" w:hAnsi="Times New Roman" w:cs="Times New Roman"/>
          <w:sz w:val="24"/>
          <w:szCs w:val="28"/>
        </w:rPr>
        <w:t xml:space="preserve">&gt; по теме: </w:t>
      </w:r>
      <w:r w:rsidR="00B177CE" w:rsidRPr="005F3FC6">
        <w:rPr>
          <w:rFonts w:ascii="Times New Roman" w:hAnsi="Times New Roman" w:cs="Times New Roman"/>
          <w:sz w:val="24"/>
          <w:szCs w:val="28"/>
        </w:rPr>
        <w:t>&lt;</w:t>
      </w:r>
      <w:proofErr w:type="spellStart"/>
      <w:r w:rsidR="00344251">
        <w:rPr>
          <w:rFonts w:ascii="Times New Roman" w:hAnsi="Times New Roman" w:cs="Times New Roman"/>
          <w:sz w:val="24"/>
          <w:szCs w:val="28"/>
        </w:rPr>
        <w:t>Сенсо-невральная</w:t>
      </w:r>
      <w:proofErr w:type="spellEnd"/>
      <w:r w:rsidR="00344251">
        <w:rPr>
          <w:rFonts w:ascii="Times New Roman" w:hAnsi="Times New Roman" w:cs="Times New Roman"/>
          <w:sz w:val="24"/>
          <w:szCs w:val="28"/>
        </w:rPr>
        <w:t xml:space="preserve"> тугоухость</w:t>
      </w:r>
      <w:r w:rsidR="00B177CE" w:rsidRPr="005F3FC6">
        <w:rPr>
          <w:rFonts w:ascii="Times New Roman" w:hAnsi="Times New Roman" w:cs="Times New Roman"/>
          <w:sz w:val="24"/>
          <w:szCs w:val="28"/>
        </w:rPr>
        <w:t>&gt;.</w:t>
      </w:r>
    </w:p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способен</w:t>
      </w:r>
      <w:proofErr w:type="gramEnd"/>
      <w:r w:rsidRPr="005F3FC6">
        <w:rPr>
          <w:rFonts w:ascii="Times New Roman" w:hAnsi="Times New Roman" w:cs="Times New Roman"/>
          <w:sz w:val="24"/>
          <w:szCs w:val="28"/>
        </w:rPr>
        <w:t xml:space="preserve"> аргументировано защищать свою точку зрения. Написание реферата производится в произвольной форме, однако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Основные оценочные критерии рецензии на реферат ординатора первого года обучения специальности Оториноларингология: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Оценочный критерий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Положительный/отрицательный</w:t>
            </w: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Структурированность;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Наличие орфографических ошибок;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Соответствие текста реферата по его теме;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Владение терминологией;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Полнота и глубина раскрытия основных понятий темы;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Логичность доказательной базы;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Умение аргументировать основные положения и выводы;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Круг использования известных научных источников;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FC6" w:rsidRPr="005F3FC6" w:rsidTr="00662724">
        <w:tc>
          <w:tcPr>
            <w:tcW w:w="7366" w:type="dxa"/>
          </w:tcPr>
          <w:p w:rsidR="00B177CE" w:rsidRPr="005F3FC6" w:rsidRDefault="00B177CE" w:rsidP="0066272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3FC6">
              <w:rPr>
                <w:rFonts w:ascii="Times New Roman" w:hAnsi="Times New Roman" w:cs="Times New Roman"/>
                <w:sz w:val="24"/>
                <w:szCs w:val="28"/>
              </w:rPr>
              <w:t>Умение сделать общий вывод.</w:t>
            </w:r>
          </w:p>
        </w:tc>
        <w:tc>
          <w:tcPr>
            <w:tcW w:w="1979" w:type="dxa"/>
          </w:tcPr>
          <w:p w:rsidR="00B177CE" w:rsidRPr="005F3FC6" w:rsidRDefault="00B177CE" w:rsidP="006627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77CE" w:rsidRPr="005F3FC6" w:rsidRDefault="00B177CE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Итоговая оценка: положительная/отрицательная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Комментарии рецензента: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Дата:          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Подпись рецензента:</w:t>
      </w:r>
    </w:p>
    <w:p w:rsidR="00662724" w:rsidRPr="005F3FC6" w:rsidRDefault="00662724" w:rsidP="00662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Подпись ординатора:</w:t>
      </w:r>
    </w:p>
    <w:p w:rsidR="00B96110" w:rsidRPr="005F3FC6" w:rsidRDefault="00B96110" w:rsidP="00E763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E763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» Министерства здравоохранения Российской Федерации.</w:t>
      </w: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Кафедра ЛОР-болезней с курсом 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F3FC6">
        <w:rPr>
          <w:rFonts w:ascii="Times New Roman" w:hAnsi="Times New Roman" w:cs="Times New Roman"/>
          <w:sz w:val="36"/>
          <w:szCs w:val="28"/>
        </w:rPr>
        <w:t>РЕФЕРАТ</w:t>
      </w:r>
    </w:p>
    <w:p w:rsidR="00AA6498" w:rsidRPr="005F3FC6" w:rsidRDefault="00344251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Сенсо-невральная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тугоухость</w:t>
      </w: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5F3FC6">
        <w:rPr>
          <w:rFonts w:ascii="Times New Roman" w:hAnsi="Times New Roman" w:cs="Times New Roman"/>
          <w:sz w:val="24"/>
          <w:szCs w:val="28"/>
        </w:rPr>
        <w:t>Зав</w:t>
      </w:r>
      <w:proofErr w:type="gramStart"/>
      <w:r w:rsidRPr="005F3FC6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5F3FC6">
        <w:rPr>
          <w:rFonts w:ascii="Times New Roman" w:hAnsi="Times New Roman" w:cs="Times New Roman"/>
          <w:sz w:val="24"/>
          <w:szCs w:val="28"/>
        </w:rPr>
        <w:t>афедрой</w:t>
      </w:r>
      <w:proofErr w:type="spellEnd"/>
      <w:r w:rsidRPr="005F3FC6">
        <w:rPr>
          <w:rFonts w:ascii="Times New Roman" w:hAnsi="Times New Roman" w:cs="Times New Roman"/>
          <w:sz w:val="24"/>
          <w:szCs w:val="28"/>
        </w:rPr>
        <w:t>: д.м.н., проф. Вахрушев С.Г.</w:t>
      </w:r>
    </w:p>
    <w:p w:rsidR="00AA6498" w:rsidRPr="005F3FC6" w:rsidRDefault="00674499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 xml:space="preserve">Проверила: </w:t>
      </w:r>
      <w:proofErr w:type="spellStart"/>
      <w:r w:rsidR="00D956E5">
        <w:rPr>
          <w:rFonts w:ascii="Times New Roman" w:hAnsi="Times New Roman" w:cs="Times New Roman"/>
          <w:sz w:val="24"/>
          <w:szCs w:val="28"/>
        </w:rPr>
        <w:t>к.м</w:t>
      </w:r>
      <w:proofErr w:type="gramStart"/>
      <w:r w:rsidR="00D956E5">
        <w:rPr>
          <w:rFonts w:ascii="Times New Roman" w:hAnsi="Times New Roman" w:cs="Times New Roman"/>
          <w:sz w:val="24"/>
          <w:szCs w:val="28"/>
        </w:rPr>
        <w:t>.н</w:t>
      </w:r>
      <w:proofErr w:type="spellEnd"/>
      <w:proofErr w:type="gramEnd"/>
      <w:r w:rsidR="00D956E5">
        <w:rPr>
          <w:rFonts w:ascii="Times New Roman" w:hAnsi="Times New Roman" w:cs="Times New Roman"/>
          <w:sz w:val="24"/>
          <w:szCs w:val="28"/>
        </w:rPr>
        <w:t>, доцент Петрова М.А.</w:t>
      </w: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Выполнила: ординат</w:t>
      </w:r>
      <w:r w:rsidR="003541E9" w:rsidRPr="005F3FC6">
        <w:rPr>
          <w:rFonts w:ascii="Times New Roman" w:hAnsi="Times New Roman" w:cs="Times New Roman"/>
          <w:sz w:val="24"/>
          <w:szCs w:val="28"/>
        </w:rPr>
        <w:t xml:space="preserve">ор 1 года обучения </w:t>
      </w:r>
      <w:proofErr w:type="spellStart"/>
      <w:r w:rsidR="00674499" w:rsidRPr="005F3FC6">
        <w:rPr>
          <w:rFonts w:ascii="Times New Roman" w:hAnsi="Times New Roman" w:cs="Times New Roman"/>
          <w:sz w:val="24"/>
          <w:szCs w:val="28"/>
        </w:rPr>
        <w:t>Нестеришина</w:t>
      </w:r>
      <w:proofErr w:type="spellEnd"/>
      <w:r w:rsidR="00674499" w:rsidRPr="005F3FC6">
        <w:rPr>
          <w:rFonts w:ascii="Times New Roman" w:hAnsi="Times New Roman" w:cs="Times New Roman"/>
          <w:sz w:val="24"/>
          <w:szCs w:val="28"/>
        </w:rPr>
        <w:t xml:space="preserve"> О.Е.</w:t>
      </w: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B716E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4499" w:rsidRPr="005F3FC6" w:rsidRDefault="00674499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4499" w:rsidRPr="005F3FC6" w:rsidRDefault="00674499" w:rsidP="00AA64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3541E9" w:rsidP="00D956E5">
      <w:pPr>
        <w:spacing w:after="0" w:line="276" w:lineRule="auto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5F3FC6">
        <w:rPr>
          <w:rFonts w:ascii="Times New Roman" w:hAnsi="Times New Roman" w:cs="Times New Roman"/>
          <w:sz w:val="24"/>
          <w:szCs w:val="28"/>
        </w:rPr>
        <w:t>Красноярск, 20</w:t>
      </w:r>
      <w:r w:rsidR="00D956E5">
        <w:rPr>
          <w:rFonts w:ascii="Times New Roman" w:hAnsi="Times New Roman" w:cs="Times New Roman"/>
          <w:sz w:val="24"/>
          <w:szCs w:val="28"/>
        </w:rPr>
        <w:t>21</w:t>
      </w: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F3FC6">
        <w:rPr>
          <w:rFonts w:ascii="Times New Roman" w:hAnsi="Times New Roman" w:cs="Times New Roman"/>
          <w:sz w:val="32"/>
          <w:szCs w:val="32"/>
        </w:rPr>
        <w:lastRenderedPageBreak/>
        <w:t>Содержание: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987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B1F8C" w:rsidRPr="00D2316E" w:rsidRDefault="002B1F8C">
          <w:pPr>
            <w:pStyle w:val="a5"/>
            <w:rPr>
              <w:rFonts w:ascii="Times New Roman" w:hAnsi="Times New Roman" w:cs="Times New Roman"/>
              <w:color w:val="auto"/>
              <w:sz w:val="22"/>
              <w:szCs w:val="22"/>
            </w:rPr>
          </w:pPr>
        </w:p>
        <w:p w:rsidR="002B1F8C" w:rsidRPr="00D2316E" w:rsidRDefault="00D231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proofErr w:type="spellStart"/>
          <w:r w:rsidRPr="00D2316E">
            <w:rPr>
              <w:rFonts w:ascii="Times New Roman" w:hAnsi="Times New Roman" w:cs="Times New Roman"/>
            </w:rPr>
            <w:t>Сенсоневральная</w:t>
          </w:r>
          <w:proofErr w:type="spellEnd"/>
          <w:r w:rsidRPr="00D2316E">
            <w:rPr>
              <w:rFonts w:ascii="Times New Roman" w:hAnsi="Times New Roman" w:cs="Times New Roman"/>
            </w:rPr>
            <w:t xml:space="preserve"> тугоухость, понятие</w:t>
          </w:r>
          <w:r w:rsidR="002B1F8C" w:rsidRPr="00D2316E">
            <w:rPr>
              <w:rFonts w:ascii="Times New Roman" w:hAnsi="Times New Roman" w:cs="Times New Roman"/>
            </w:rPr>
            <w:fldChar w:fldCharType="begin"/>
          </w:r>
          <w:r w:rsidR="002B1F8C" w:rsidRPr="00D2316E">
            <w:rPr>
              <w:rFonts w:ascii="Times New Roman" w:hAnsi="Times New Roman" w:cs="Times New Roman"/>
            </w:rPr>
            <w:instrText xml:space="preserve"> TOC \o "1-3" \h \z \u </w:instrText>
          </w:r>
          <w:r w:rsidR="002B1F8C" w:rsidRPr="00D2316E">
            <w:rPr>
              <w:rFonts w:ascii="Times New Roman" w:hAnsi="Times New Roman" w:cs="Times New Roman"/>
            </w:rPr>
            <w:fldChar w:fldCharType="separate"/>
          </w:r>
          <w:hyperlink w:anchor="_Toc532470506" w:history="1"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C7A21" w:rsidRPr="00D2316E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:rsidR="002B1F8C" w:rsidRPr="00D2316E" w:rsidRDefault="004F0F0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32470507" w:history="1">
            <w:r w:rsidR="00D2316E" w:rsidRPr="00D2316E">
              <w:rPr>
                <w:rStyle w:val="a6"/>
                <w:rFonts w:ascii="Times New Roman" w:hAnsi="Times New Roman" w:cs="Times New Roman"/>
                <w:noProof/>
                <w:color w:val="auto"/>
              </w:rPr>
              <w:t>Классификация</w:t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C7A21" w:rsidRPr="00D2316E">
            <w:rPr>
              <w:rFonts w:ascii="Times New Roman" w:hAnsi="Times New Roman" w:cs="Times New Roman"/>
              <w:noProof/>
            </w:rPr>
            <w:t>4</w:t>
          </w:r>
        </w:p>
        <w:p w:rsidR="002B1F8C" w:rsidRPr="00D2316E" w:rsidRDefault="00D231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D2316E">
            <w:rPr>
              <w:rFonts w:ascii="Times New Roman" w:hAnsi="Times New Roman" w:cs="Times New Roman"/>
              <w:noProof/>
            </w:rPr>
            <w:t>Клиническая картина</w:t>
          </w:r>
          <w:hyperlink w:anchor="_Toc532470508" w:history="1"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instrText xml:space="preserve"> PAGEREF _Toc532470508 \h </w:instrText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44251" w:rsidRPr="00D2316E">
            <w:rPr>
              <w:rFonts w:ascii="Times New Roman" w:hAnsi="Times New Roman" w:cs="Times New Roman"/>
              <w:noProof/>
            </w:rPr>
            <w:t>4</w:t>
          </w:r>
        </w:p>
        <w:p w:rsidR="002B1F8C" w:rsidRPr="00D2316E" w:rsidRDefault="004F0F0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32470510" w:history="1">
            <w:r w:rsidR="00D2316E" w:rsidRPr="00D2316E">
              <w:rPr>
                <w:rStyle w:val="a6"/>
                <w:rFonts w:ascii="Times New Roman" w:hAnsi="Times New Roman" w:cs="Times New Roman"/>
                <w:noProof/>
                <w:color w:val="auto"/>
              </w:rPr>
              <w:t>Этиология</w:t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316E" w:rsidRPr="00D2316E">
            <w:rPr>
              <w:rFonts w:ascii="Times New Roman" w:hAnsi="Times New Roman" w:cs="Times New Roman"/>
              <w:noProof/>
            </w:rPr>
            <w:t>4</w:t>
          </w:r>
        </w:p>
        <w:p w:rsidR="002B1F8C" w:rsidRPr="00D2316E" w:rsidRDefault="004F0F0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32470511" w:history="1">
            <w:r w:rsidR="00D2316E" w:rsidRPr="00D2316E">
              <w:rPr>
                <w:rFonts w:ascii="Times New Roman" w:hAnsi="Times New Roman" w:cs="Times New Roman"/>
                <w:noProof/>
              </w:rPr>
              <w:t>Диагностика</w:t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316E" w:rsidRPr="00D2316E">
            <w:rPr>
              <w:rFonts w:ascii="Times New Roman" w:hAnsi="Times New Roman" w:cs="Times New Roman"/>
              <w:noProof/>
            </w:rPr>
            <w:t>5</w:t>
          </w:r>
        </w:p>
        <w:p w:rsidR="00D2316E" w:rsidRPr="00D2316E" w:rsidRDefault="004F0F0C" w:rsidP="00D2316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32470512" w:history="1">
            <w:r w:rsidR="00D2316E" w:rsidRPr="00D2316E">
              <w:rPr>
                <w:rStyle w:val="a6"/>
                <w:rFonts w:ascii="Times New Roman" w:hAnsi="Times New Roman" w:cs="Times New Roman"/>
                <w:noProof/>
                <w:color w:val="auto"/>
              </w:rPr>
              <w:t>Лечение</w:t>
            </w:r>
            <w:r w:rsidR="002B1F8C" w:rsidRPr="00D2316E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316E" w:rsidRPr="00D2316E">
            <w:rPr>
              <w:rFonts w:ascii="Times New Roman" w:hAnsi="Times New Roman" w:cs="Times New Roman"/>
              <w:noProof/>
            </w:rPr>
            <w:t>5</w:t>
          </w:r>
        </w:p>
        <w:p w:rsidR="00D2316E" w:rsidRPr="00D2316E" w:rsidRDefault="00D2316E" w:rsidP="00D2316E">
          <w:pPr>
            <w:rPr>
              <w:rFonts w:ascii="Times New Roman" w:hAnsi="Times New Roman" w:cs="Times New Roman"/>
            </w:rPr>
          </w:pPr>
          <w:r w:rsidRPr="00D2316E">
            <w:rPr>
              <w:rFonts w:ascii="Times New Roman" w:hAnsi="Times New Roman" w:cs="Times New Roman"/>
            </w:rPr>
            <w:t>Профилактика……………………………………………………………………………………………</w:t>
          </w:r>
          <w:r>
            <w:rPr>
              <w:rFonts w:ascii="Times New Roman" w:hAnsi="Times New Roman" w:cs="Times New Roman"/>
            </w:rPr>
            <w:t>...</w:t>
          </w:r>
          <w:r w:rsidRPr="00D2316E">
            <w:rPr>
              <w:rFonts w:ascii="Times New Roman" w:hAnsi="Times New Roman" w:cs="Times New Roman"/>
            </w:rPr>
            <w:t>6</w:t>
          </w:r>
        </w:p>
        <w:p w:rsidR="00D2316E" w:rsidRPr="00D2316E" w:rsidRDefault="00D2316E" w:rsidP="00D2316E">
          <w:pPr>
            <w:rPr>
              <w:rFonts w:ascii="Times New Roman" w:hAnsi="Times New Roman" w:cs="Times New Roman"/>
            </w:rPr>
          </w:pPr>
          <w:r w:rsidRPr="00D2316E">
            <w:rPr>
              <w:rFonts w:ascii="Times New Roman" w:hAnsi="Times New Roman" w:cs="Times New Roman"/>
            </w:rPr>
            <w:t>Список литературы……………………………………………………………………………………</w:t>
          </w:r>
          <w:r>
            <w:rPr>
              <w:rFonts w:ascii="Times New Roman" w:hAnsi="Times New Roman" w:cs="Times New Roman"/>
            </w:rPr>
            <w:t>......</w:t>
          </w:r>
          <w:r w:rsidRPr="00D2316E">
            <w:rPr>
              <w:rFonts w:ascii="Times New Roman" w:hAnsi="Times New Roman" w:cs="Times New Roman"/>
            </w:rPr>
            <w:t>7</w:t>
          </w:r>
        </w:p>
        <w:p w:rsidR="002B1F8C" w:rsidRPr="005F3FC6" w:rsidRDefault="002B1F8C">
          <w:pPr>
            <w:rPr>
              <w:rFonts w:ascii="Times New Roman" w:hAnsi="Times New Roman" w:cs="Times New Roman"/>
            </w:rPr>
          </w:pPr>
          <w:r w:rsidRPr="00D2316E">
            <w:rPr>
              <w:rFonts w:ascii="Times New Roman" w:hAnsi="Times New Roman" w:cs="Times New Roman"/>
            </w:rPr>
            <w:fldChar w:fldCharType="end"/>
          </w:r>
        </w:p>
      </w:sdtContent>
    </w:sdt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AA6498" w:rsidRPr="005F3FC6" w:rsidRDefault="00AA6498" w:rsidP="00AA649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B6362A" w:rsidRPr="005F3FC6" w:rsidRDefault="00B6362A" w:rsidP="00B6362A"/>
    <w:p w:rsidR="00AE2D9C" w:rsidRDefault="00D956E5" w:rsidP="00B6362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518D2" w:rsidRPr="00AE2D9C">
        <w:rPr>
          <w:rFonts w:ascii="Times New Roman" w:hAnsi="Times New Roman" w:cs="Times New Roman"/>
          <w:sz w:val="24"/>
          <w:szCs w:val="24"/>
        </w:rPr>
        <w:tab/>
      </w:r>
    </w:p>
    <w:p w:rsidR="00AE2D9C" w:rsidRDefault="00AE2D9C" w:rsidP="00B6362A">
      <w:pPr>
        <w:rPr>
          <w:rFonts w:ascii="Times New Roman" w:hAnsi="Times New Roman" w:cs="Times New Roman"/>
          <w:sz w:val="24"/>
          <w:szCs w:val="24"/>
        </w:rPr>
      </w:pPr>
    </w:p>
    <w:p w:rsidR="00344251" w:rsidRPr="00344251" w:rsidRDefault="00344251" w:rsidP="00344251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34425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Сенсоневральная</w:t>
      </w:r>
      <w:proofErr w:type="spellEnd"/>
      <w:r w:rsidRPr="0034425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тугоухость</w:t>
      </w:r>
      <w:r w:rsidRPr="00D2316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, понятие.</w:t>
      </w:r>
    </w:p>
    <w:p w:rsidR="00344251" w:rsidRPr="00344251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Нейросенсорная</w:t>
      </w:r>
      <w:proofErr w:type="spellEnd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тугоухость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сенсоневральная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тугоухость,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кохлеарный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неврит, неврит слухового нерва) – неинфекционное заболевание уха, при котором страдает слуховой нерв и, соответственно, звуковосприятие. Главным симптомом является снижение слуха, сопровождающееся субъективным шумом в ушах. Чаще всего говорят об </w:t>
      </w:r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острой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подострой </w:t>
      </w:r>
      <w:proofErr w:type="spellStart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нейросенсорной</w:t>
      </w:r>
      <w:proofErr w:type="spellEnd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тугоухости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Этим расстройством страдают люди всех возрастных групп, однако с возрастом в той или иной степени слух снижается у всех людей. Это состояние называется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пресбиакузис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(возрастное снижение остроты слуха). Основной причиной этих состояний является атрофия звуковоспринимающих нервных окончаний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Кортиева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органа. Важно знать, что когда ставится диагноз </w:t>
      </w:r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хроническая </w:t>
      </w:r>
      <w:proofErr w:type="spellStart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нейросенсорная</w:t>
      </w:r>
      <w:proofErr w:type="spellEnd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тугоухость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слух, к сожалению, восстановлению не подлежит.</w:t>
      </w:r>
    </w:p>
    <w:p w:rsidR="00344251" w:rsidRPr="00D2316E" w:rsidRDefault="00344251" w:rsidP="003442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16E"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proofErr w:type="spellStart"/>
      <w:r w:rsidRPr="00D2316E">
        <w:rPr>
          <w:rFonts w:ascii="Times New Roman" w:hAnsi="Times New Roman" w:cs="Times New Roman"/>
          <w:b/>
          <w:sz w:val="24"/>
          <w:szCs w:val="24"/>
        </w:rPr>
        <w:t>сенсоневральной</w:t>
      </w:r>
      <w:proofErr w:type="spellEnd"/>
      <w:r w:rsidRPr="00D2316E">
        <w:rPr>
          <w:rFonts w:ascii="Times New Roman" w:hAnsi="Times New Roman" w:cs="Times New Roman"/>
          <w:b/>
          <w:sz w:val="24"/>
          <w:szCs w:val="24"/>
        </w:rPr>
        <w:t xml:space="preserve"> тугоухости.</w:t>
      </w:r>
    </w:p>
    <w:p w:rsidR="00344251" w:rsidRPr="00D2316E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2316E">
        <w:rPr>
          <w:rFonts w:ascii="Times New Roman" w:hAnsi="Times New Roman" w:cs="Times New Roman"/>
          <w:sz w:val="24"/>
          <w:szCs w:val="24"/>
        </w:rPr>
        <w:t>В зависимости от уровня поражения (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нейросенсорного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отдела) слухового анализатора различают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(рецепторную, периферическую),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ретрокохлеарную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(поражение спирального ганглия или VIII нерва) и центральную (стволовая, подкорковая и корковая) тугоухость.</w:t>
      </w:r>
      <w:proofErr w:type="gramEnd"/>
      <w:r w:rsidRPr="00D2316E">
        <w:rPr>
          <w:rFonts w:ascii="Times New Roman" w:hAnsi="Times New Roman" w:cs="Times New Roman"/>
          <w:sz w:val="24"/>
          <w:szCs w:val="24"/>
        </w:rPr>
        <w:t xml:space="preserve"> Часто наблюдается смешанная тугоухость, когда сочетается нарушение звукопроведения и звуковосприятия, т.е. имеет место одновременно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тугоухость. В этих случаях важно установить преобладание той или иной формы тугоухости и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опред</w:t>
      </w:r>
      <w:proofErr w:type="gramStart"/>
      <w:r w:rsidRPr="00D2316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316E">
        <w:rPr>
          <w:rFonts w:ascii="Times New Roman" w:hAnsi="Times New Roman" w:cs="Times New Roman"/>
          <w:sz w:val="24"/>
          <w:szCs w:val="24"/>
        </w:rPr>
        <w:t xml:space="preserve"> .лить причинно-следственные отношения между ними.</w:t>
      </w:r>
    </w:p>
    <w:p w:rsidR="00344251" w:rsidRPr="00344251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КЛИНИЧЕСКИЕ ФОРМЫ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(критерием является давность заболевания):</w:t>
      </w:r>
    </w:p>
    <w:p w:rsidR="00344251" w:rsidRPr="00344251" w:rsidRDefault="00344251" w:rsidP="00344251">
      <w:pPr>
        <w:numPr>
          <w:ilvl w:val="0"/>
          <w:numId w:val="19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4 недель - острая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нейросенсорная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тугоухость - эффективность лечения составляет 70-90%,</w:t>
      </w:r>
    </w:p>
    <w:p w:rsidR="00344251" w:rsidRPr="00344251" w:rsidRDefault="00344251" w:rsidP="00344251">
      <w:pPr>
        <w:numPr>
          <w:ilvl w:val="0"/>
          <w:numId w:val="19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 месяца до 3 месяцев - подострая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нейросенсорная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тугоухость - эффективность лечения - 30-70%,</w:t>
      </w:r>
    </w:p>
    <w:p w:rsidR="00344251" w:rsidRPr="00D2316E" w:rsidRDefault="00344251" w:rsidP="00344251">
      <w:pPr>
        <w:numPr>
          <w:ilvl w:val="0"/>
          <w:numId w:val="19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3 месяцев - хроническая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нейросенсорная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тугоухость - эффективность лечения сомнительна.</w:t>
      </w:r>
    </w:p>
    <w:p w:rsidR="00344251" w:rsidRPr="00344251" w:rsidRDefault="00344251" w:rsidP="00344251">
      <w:p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Клиническая картина</w:t>
      </w:r>
    </w:p>
    <w:p w:rsidR="00344251" w:rsidRPr="00344251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симптомом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сенсоневральной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тугоухости является </w:t>
      </w:r>
      <w:r w:rsidRPr="00344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снижение слуха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Часто возникает после перенесенного ОРВИ, психоэмоционального стресса, интоксикаций. Поражаться может как одно ухо, так и оба одновременно.</w:t>
      </w:r>
      <w:r w:rsidRPr="00D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частый симптом при этом заболевании - </w:t>
      </w:r>
      <w:r w:rsidRPr="00344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в ухе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может быть как высокочастотным (звон, писк, «зуммер», «шипение»), что чаще, так и низкочастотным (гул).</w:t>
      </w:r>
      <w:proofErr w:type="gramEnd"/>
    </w:p>
    <w:p w:rsidR="00344251" w:rsidRPr="00344251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Этиология</w:t>
      </w:r>
    </w:p>
    <w:p w:rsidR="00344251" w:rsidRPr="00344251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инфекционные вирусные заболевания: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грипп и ОРВИ, инфекционный паротит;</w:t>
      </w:r>
    </w:p>
    <w:p w:rsidR="00344251" w:rsidRPr="00344251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трофические расстройства нервной ткани: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сосудистые нарушения, недостаточное кровоснабжение (атеросклероз сосудов, гипертоническая болезнь, вегето-сосудистая дистония);</w:t>
      </w:r>
    </w:p>
    <w:p w:rsidR="00344251" w:rsidRPr="00344251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стресс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251" w:rsidRPr="00344251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черепно-мозговые травмы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251" w:rsidRPr="00344251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акустические травмы: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кратковременный, но чрезмерно сильный звук - выстрел, крик, гудок;</w:t>
      </w:r>
    </w:p>
    <w:p w:rsidR="00344251" w:rsidRPr="00344251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воздействие ряда химических веществ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обладающих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ототоксическим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действием (промышленные и бытовые вещества);</w:t>
      </w:r>
    </w:p>
    <w:p w:rsidR="00344251" w:rsidRPr="00D2316E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прием </w:t>
      </w:r>
      <w:proofErr w:type="spellStart"/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ототоксических</w:t>
      </w:r>
      <w:proofErr w:type="spellEnd"/>
      <w:r w:rsidRPr="00344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лекарственных препаратов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антибиотики (в первую очередь -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аминогликозиды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противомалярийные средства, салицилаты.</w:t>
      </w:r>
    </w:p>
    <w:p w:rsidR="00344251" w:rsidRPr="00344251" w:rsidRDefault="00344251" w:rsidP="00344251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6E">
        <w:rPr>
          <w:rFonts w:ascii="Times New Roman" w:hAnsi="Times New Roman" w:cs="Times New Roman"/>
          <w:sz w:val="24"/>
          <w:szCs w:val="24"/>
        </w:rPr>
        <w:t>Возрастная тугоухость (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пресбиакузис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>) развивается как следствие дегенеративных и атрофических процессов в улитке и спиральном ганглии, в улитковых ядрах, а также в слуховой зоне коры головного мозга. Большую роль в развитии процессов возрастной инволюции играют атеросклеротические изменения сосудов, в частности в спиральной связке. Возрастные изменения слуха начинаются уже с 30-летнего возраста, но быстрее прогрессируют после 50 лет</w:t>
      </w:r>
    </w:p>
    <w:p w:rsidR="00344251" w:rsidRPr="00344251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такая форма, как </w:t>
      </w:r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идиопатическая </w:t>
      </w:r>
      <w:proofErr w:type="spellStart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сенсоневральная</w:t>
      </w:r>
      <w:proofErr w:type="spellEnd"/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тугоухость</w:t>
      </w: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причину развития поражения органа слуха выявить не удается.</w:t>
      </w:r>
    </w:p>
    <w:p w:rsidR="00344251" w:rsidRPr="00D2316E" w:rsidRDefault="00344251" w:rsidP="003442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16E">
        <w:rPr>
          <w:rFonts w:ascii="Times New Roman" w:hAnsi="Times New Roman" w:cs="Times New Roman"/>
          <w:b/>
          <w:sz w:val="24"/>
          <w:szCs w:val="24"/>
        </w:rPr>
        <w:t>Диагностика.</w:t>
      </w:r>
      <w:r w:rsidRPr="00D2316E">
        <w:rPr>
          <w:rFonts w:ascii="Times New Roman" w:hAnsi="Times New Roman" w:cs="Times New Roman"/>
          <w:b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В диагностике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тугоухости важную роль играет тщательно собранный анамнез и клинические данные. В топической диагностике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ведушее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значение имеют методы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камертонального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и аудиометрического исследования. </w:t>
      </w:r>
    </w:p>
    <w:p w:rsidR="00344251" w:rsidRPr="00D2316E" w:rsidRDefault="00344251" w:rsidP="003442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16E">
        <w:rPr>
          <w:rFonts w:ascii="Times New Roman" w:hAnsi="Times New Roman" w:cs="Times New Roman"/>
          <w:sz w:val="24"/>
          <w:szCs w:val="24"/>
        </w:rPr>
        <w:t>При тональной пороговой аудиометрии тональные пороги воздушной и костной проводимости повышены, параллельны друг другу и не имеют костно-воздушного интервала. В зависимости от уровня порогов восприятия речевых частот (500-4000 Гц) определяют тугоухость различной степени выраженности: »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 повышение порогов восприятия на 20-40 дБ соответствует I степени тугоухости;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• 41-55 дБ —II степень;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• 56-70 дБ — III степень;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« 71-90 дБ — IV степень тугоухости;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• 91 дБ и более — практическая глухота.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Характерным для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формы тугоухости (поражение рецепторных клеток спирального органа) является выявление при надпороговой аудиометрии феномена ускоренного нарастания громкости (ФУНГ). Он отсутствует при поражении ствола VIII нерва (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ретрокохлеарная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тугоухость), что важно для дифференциальной диагностики. </w:t>
      </w:r>
    </w:p>
    <w:p w:rsidR="00344251" w:rsidRPr="00D2316E" w:rsidRDefault="00344251" w:rsidP="003442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316E">
        <w:rPr>
          <w:rFonts w:ascii="Times New Roman" w:hAnsi="Times New Roman" w:cs="Times New Roman"/>
          <w:b/>
          <w:sz w:val="24"/>
          <w:szCs w:val="24"/>
        </w:rPr>
        <w:t>Лечение.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2316E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тугоухости имеет особенности при внезапной, острой и хронической формах заболевания.</w:t>
      </w:r>
      <w:proofErr w:type="gramEnd"/>
      <w:r w:rsidRPr="00D2316E">
        <w:rPr>
          <w:rFonts w:ascii="Times New Roman" w:hAnsi="Times New Roman" w:cs="Times New Roman"/>
          <w:sz w:val="24"/>
          <w:szCs w:val="24"/>
        </w:rPr>
        <w:t xml:space="preserve"> При внезапной и острой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тугоухости лечение должно быть начато как можно раньше, в период обратимых изменений нервной ткани. Пациенты, у которых диагностирована внезапная или острая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тугоухость, являются ургентными больными и подлежат экстренной госпитализации.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 Лечение должно быть направлено в первую очередь на устранение или нейтрализацию причин заболевания. При тугоухости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инфекц</w:t>
      </w:r>
      <w:proofErr w:type="gramStart"/>
      <w:r w:rsidRPr="00D2316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316E">
        <w:rPr>
          <w:rFonts w:ascii="Times New Roman" w:hAnsi="Times New Roman" w:cs="Times New Roman"/>
          <w:sz w:val="24"/>
          <w:szCs w:val="24"/>
        </w:rPr>
        <w:t xml:space="preserve"> Заболевания уха 507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природы терапия предполагает воздействие главным образом на процесс воспаления, включая источник и пути проникновения инфекции. С этой целью назначаются нетоксичные антибиотики; пенициллин по 1 </w:t>
      </w:r>
      <w:proofErr w:type="gramStart"/>
      <w:r w:rsidRPr="00D2316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2316E">
        <w:rPr>
          <w:rFonts w:ascii="Times New Roman" w:hAnsi="Times New Roman" w:cs="Times New Roman"/>
          <w:sz w:val="24"/>
          <w:szCs w:val="24"/>
        </w:rPr>
        <w:t xml:space="preserve"> ЕД внутримышечно 4 раза в день;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рулид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по 0,15 г внутрь 2 раза в день;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верцеф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по 0,375 г внутрь 2 раза в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.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Лечение токсических форм тугоухости предусматривает в первую очередь проведение мероприятий по прекращению поступления токсинов и срочному их выведению из организма. </w:t>
      </w:r>
      <w:proofErr w:type="gramStart"/>
      <w:r w:rsidRPr="00D2316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2316E">
        <w:rPr>
          <w:rFonts w:ascii="Times New Roman" w:hAnsi="Times New Roman" w:cs="Times New Roman"/>
          <w:sz w:val="24"/>
          <w:szCs w:val="24"/>
        </w:rPr>
        <w:t xml:space="preserve"> 3 дня назначается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гемодез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по 250 мл внутривенно капельно; наряду с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дезинтоксикационным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дегидратационным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действием </w:t>
      </w:r>
      <w:r w:rsidRPr="00D2316E">
        <w:rPr>
          <w:rFonts w:ascii="Times New Roman" w:hAnsi="Times New Roman" w:cs="Times New Roman"/>
          <w:sz w:val="24"/>
          <w:szCs w:val="24"/>
        </w:rPr>
        <w:lastRenderedPageBreak/>
        <w:t>эти препараты обладают свойствами уменьшать вязкость крови, улучшать капиллярное кровообращение. Сразу после их введения назначают также внутривенно капельно 500 мл 0,9% р-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натрия хлорида с добавлением в него 60 мг преднизолона, 5 мл 5% аскорбиновой кислоты, 4 мл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солкосерила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50 мг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кокарбоксилазы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10 мл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панангина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в течение 10 дней.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Если причина острой тугоухости не установлена, ее рассматривают чаще всего как тугоухость сосудистого генеза. Для улучшения кровоснабжения внутреннего уха назначается ежедневно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2% по 5 мл внутривенно капельно в 250 мл физиологического раствора или 5% р-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глюкозы. С этой же целью назначают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кавинтон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стугерон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вазобрал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. Для улучшения общей церебральной гемодинамики используют парентерально эуфиллин, папаверин, дибазол,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никошпан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спазмолитин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апренал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компламин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>.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 С успехом применяется стероидная терапия, которая может проводиться системно (перорально или внутривенно) и местно (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интратимпанально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).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Интратимпанальное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введение кортикостероидов в барабанную полость (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) через установленный в барабанной перепонке шунт или при катетеризации слуховой трубы является предпочтительным, так как позволяет достигать высокой концентрации препарата в перилимфе и снизить неблагоприятное общее побочное действие препарата при его абсорбции. С целью нормализации метаболизма нервных клеток при гипоксии и ишемии назначают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предуктал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(по 0,02 г внутрь 3 раза в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во время еды),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милдронат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(по 0,25 г в капсулах для приема внутрь 3 раза в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). 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>Препараты метаболического действия (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ноотронил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церебролизин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) оказывают положительное влияние на обменные процессы и кровоснабжение мозга, усиливают кровоток в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ишемизированных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его участках. 508 Глава 5</w:t>
      </w:r>
      <w:proofErr w:type="gramStart"/>
      <w:r w:rsidRPr="00D2316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2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безлекарственным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методам лечения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тугоухости относятся гипербарическая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, лазеротерапия, стимуляция флюктуирующими токами, квантовая гемотерапия,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>, гомеопатические средства.</w:t>
      </w:r>
      <w:r w:rsidRPr="00D2316E">
        <w:rPr>
          <w:rFonts w:ascii="Times New Roman" w:hAnsi="Times New Roman" w:cs="Times New Roman"/>
          <w:sz w:val="24"/>
          <w:szCs w:val="24"/>
        </w:rPr>
        <w:br/>
      </w:r>
      <w:r w:rsidRPr="00D2316E">
        <w:rPr>
          <w:rFonts w:ascii="Times New Roman" w:hAnsi="Times New Roman" w:cs="Times New Roman"/>
          <w:sz w:val="24"/>
          <w:szCs w:val="24"/>
        </w:rPr>
        <w:t xml:space="preserve">С целью уменьшения ушного шума применяют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интрамеатальные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или заушные новокаиновые (или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лидокаиновые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>) блокады, различные методы иглорефлексотерапии. Для купирования вестибулярной симптоматики, сопровождающей слуховые нарушения, применяется антагонист Н-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гистаминовых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 xml:space="preserve"> рецепторов внутреннего уха — </w:t>
      </w:r>
      <w:proofErr w:type="spellStart"/>
      <w:r w:rsidRPr="00D2316E">
        <w:rPr>
          <w:rFonts w:ascii="Times New Roman" w:hAnsi="Times New Roman" w:cs="Times New Roman"/>
          <w:sz w:val="24"/>
          <w:szCs w:val="24"/>
        </w:rPr>
        <w:t>бетасерк</w:t>
      </w:r>
      <w:proofErr w:type="spellEnd"/>
      <w:r w:rsidRPr="00D2316E">
        <w:rPr>
          <w:rFonts w:ascii="Times New Roman" w:hAnsi="Times New Roman" w:cs="Times New Roman"/>
          <w:sz w:val="24"/>
          <w:szCs w:val="24"/>
        </w:rPr>
        <w:t>.</w:t>
      </w:r>
    </w:p>
    <w:p w:rsidR="00344251" w:rsidRPr="00344251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</w:t>
      </w:r>
    </w:p>
    <w:p w:rsidR="00AE2D9C" w:rsidRDefault="00344251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профилактики просты - избегание факторов риска. Необходимо своевременно лечить инфекции верхних дыхательных путей, принимать все лекарственные препараты только по назначению врача. Особую группу риска составляют лица, работающие на токсическом, шумном производстве; также вредна вибрация. В таких случаях необходимо соблюдать все меры безопасности и трудовой режим (при шуме работать в наушниках, делать более частые кратковременные перерывы в работе). Этим людям при появлении первых симптомов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нейросенсорной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тугоухости необходимо сменить работу. При отсутствии такой возможности необходимо наблюдаться у отоларинголога каждые 3 месяца и курсами принимать сосудистые препараты (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танакан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трентал</w:t>
      </w:r>
      <w:proofErr w:type="spellEnd"/>
      <w:r w:rsidRPr="0034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D2316E" w:rsidRDefault="00D2316E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16E" w:rsidRDefault="00D2316E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16E" w:rsidRDefault="00D2316E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16E" w:rsidRDefault="00D2316E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16E" w:rsidRDefault="00D2316E" w:rsidP="0034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D2316E" w:rsidRDefault="00D2316E" w:rsidP="00D2316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16E">
        <w:rPr>
          <w:rFonts w:ascii="Times New Roman" w:eastAsia="Calibri" w:hAnsi="Times New Roman" w:cs="Times New Roman"/>
          <w:sz w:val="24"/>
          <w:szCs w:val="24"/>
        </w:rPr>
        <w:t xml:space="preserve">Учебник для ВУЗов Оториноларингология </w:t>
      </w:r>
      <w:proofErr w:type="spellStart"/>
      <w:r w:rsidRPr="00D2316E">
        <w:rPr>
          <w:rFonts w:ascii="Times New Roman" w:eastAsia="Calibri" w:hAnsi="Times New Roman" w:cs="Times New Roman"/>
          <w:sz w:val="24"/>
          <w:szCs w:val="24"/>
        </w:rPr>
        <w:t>В.Т.Пальчун</w:t>
      </w:r>
      <w:proofErr w:type="spellEnd"/>
      <w:r w:rsidRPr="00D2316E">
        <w:rPr>
          <w:rFonts w:ascii="Times New Roman" w:eastAsia="Calibri" w:hAnsi="Times New Roman" w:cs="Times New Roman"/>
          <w:sz w:val="24"/>
          <w:szCs w:val="24"/>
        </w:rPr>
        <w:t xml:space="preserve">, М.М. Магомедов, </w:t>
      </w:r>
      <w:proofErr w:type="spellStart"/>
      <w:r w:rsidRPr="00D2316E">
        <w:rPr>
          <w:rFonts w:ascii="Times New Roman" w:eastAsia="Calibri" w:hAnsi="Times New Roman" w:cs="Times New Roman"/>
          <w:sz w:val="24"/>
          <w:szCs w:val="24"/>
        </w:rPr>
        <w:t>Л.А.Лучихин</w:t>
      </w:r>
      <w:proofErr w:type="spellEnd"/>
      <w:r w:rsidRPr="00D231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16E" w:rsidRPr="00D2316E" w:rsidRDefault="00D2316E" w:rsidP="00D2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2.Клинические рекомендации МЗ РФ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Сенсоневральная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тугоухость 2016г.</w:t>
      </w:r>
      <w:bookmarkStart w:id="0" w:name="_GoBack"/>
      <w:bookmarkEnd w:id="0"/>
    </w:p>
    <w:sectPr w:rsidR="00D2316E" w:rsidRPr="00D2316E" w:rsidSect="000E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0C" w:rsidRDefault="004F0F0C" w:rsidP="00E763AD">
      <w:pPr>
        <w:spacing w:after="0" w:line="240" w:lineRule="auto"/>
      </w:pPr>
      <w:r>
        <w:separator/>
      </w:r>
    </w:p>
  </w:endnote>
  <w:endnote w:type="continuationSeparator" w:id="0">
    <w:p w:rsidR="004F0F0C" w:rsidRDefault="004F0F0C" w:rsidP="00E7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0C" w:rsidRDefault="004F0F0C" w:rsidP="00E763AD">
      <w:pPr>
        <w:spacing w:after="0" w:line="240" w:lineRule="auto"/>
      </w:pPr>
      <w:r>
        <w:separator/>
      </w:r>
    </w:p>
  </w:footnote>
  <w:footnote w:type="continuationSeparator" w:id="0">
    <w:p w:rsidR="004F0F0C" w:rsidRDefault="004F0F0C" w:rsidP="00E7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1FAEBC6"/>
    <w:lvl w:ilvl="0" w:tplc="B77A7724">
      <w:start w:val="1"/>
      <w:numFmt w:val="decimal"/>
      <w:lvlText w:val="%1)"/>
      <w:lvlJc w:val="left"/>
    </w:lvl>
    <w:lvl w:ilvl="1" w:tplc="3E8E1A92">
      <w:start w:val="1"/>
      <w:numFmt w:val="bullet"/>
      <w:lvlText w:val="В"/>
      <w:lvlJc w:val="left"/>
    </w:lvl>
    <w:lvl w:ilvl="2" w:tplc="969C7DD6">
      <w:numFmt w:val="decimal"/>
      <w:lvlText w:val=""/>
      <w:lvlJc w:val="left"/>
    </w:lvl>
    <w:lvl w:ilvl="3" w:tplc="EB06E44C">
      <w:numFmt w:val="decimal"/>
      <w:lvlText w:val=""/>
      <w:lvlJc w:val="left"/>
    </w:lvl>
    <w:lvl w:ilvl="4" w:tplc="EB64DAD4">
      <w:numFmt w:val="decimal"/>
      <w:lvlText w:val=""/>
      <w:lvlJc w:val="left"/>
    </w:lvl>
    <w:lvl w:ilvl="5" w:tplc="969ED5A0">
      <w:numFmt w:val="decimal"/>
      <w:lvlText w:val=""/>
      <w:lvlJc w:val="left"/>
    </w:lvl>
    <w:lvl w:ilvl="6" w:tplc="10945E56">
      <w:numFmt w:val="decimal"/>
      <w:lvlText w:val=""/>
      <w:lvlJc w:val="left"/>
    </w:lvl>
    <w:lvl w:ilvl="7" w:tplc="7F462FD6">
      <w:numFmt w:val="decimal"/>
      <w:lvlText w:val=""/>
      <w:lvlJc w:val="left"/>
    </w:lvl>
    <w:lvl w:ilvl="8" w:tplc="A0963F2C">
      <w:numFmt w:val="decimal"/>
      <w:lvlText w:val=""/>
      <w:lvlJc w:val="left"/>
    </w:lvl>
  </w:abstractNum>
  <w:abstractNum w:abstractNumId="1">
    <w:nsid w:val="00000124"/>
    <w:multiLevelType w:val="hybridMultilevel"/>
    <w:tmpl w:val="00E21A58"/>
    <w:lvl w:ilvl="0" w:tplc="142E7BD6">
      <w:start w:val="1"/>
      <w:numFmt w:val="decimal"/>
      <w:lvlText w:val="%1)"/>
      <w:lvlJc w:val="left"/>
    </w:lvl>
    <w:lvl w:ilvl="1" w:tplc="22B83F00">
      <w:start w:val="1"/>
      <w:numFmt w:val="bullet"/>
      <w:lvlText w:val="В"/>
      <w:lvlJc w:val="left"/>
    </w:lvl>
    <w:lvl w:ilvl="2" w:tplc="643CAE22">
      <w:numFmt w:val="decimal"/>
      <w:lvlText w:val=""/>
      <w:lvlJc w:val="left"/>
    </w:lvl>
    <w:lvl w:ilvl="3" w:tplc="FFA27BAE">
      <w:numFmt w:val="decimal"/>
      <w:lvlText w:val=""/>
      <w:lvlJc w:val="left"/>
    </w:lvl>
    <w:lvl w:ilvl="4" w:tplc="5A9A2B54">
      <w:numFmt w:val="decimal"/>
      <w:lvlText w:val=""/>
      <w:lvlJc w:val="left"/>
    </w:lvl>
    <w:lvl w:ilvl="5" w:tplc="A926A396">
      <w:numFmt w:val="decimal"/>
      <w:lvlText w:val=""/>
      <w:lvlJc w:val="left"/>
    </w:lvl>
    <w:lvl w:ilvl="6" w:tplc="58A88384">
      <w:numFmt w:val="decimal"/>
      <w:lvlText w:val=""/>
      <w:lvlJc w:val="left"/>
    </w:lvl>
    <w:lvl w:ilvl="7" w:tplc="C318F502">
      <w:numFmt w:val="decimal"/>
      <w:lvlText w:val=""/>
      <w:lvlJc w:val="left"/>
    </w:lvl>
    <w:lvl w:ilvl="8" w:tplc="0D3AD684">
      <w:numFmt w:val="decimal"/>
      <w:lvlText w:val=""/>
      <w:lvlJc w:val="left"/>
    </w:lvl>
  </w:abstractNum>
  <w:abstractNum w:abstractNumId="2">
    <w:nsid w:val="00000F3E"/>
    <w:multiLevelType w:val="hybridMultilevel"/>
    <w:tmpl w:val="14EE698A"/>
    <w:lvl w:ilvl="0" w:tplc="67B034DA">
      <w:start w:val="1"/>
      <w:numFmt w:val="bullet"/>
      <w:lvlText w:val="в"/>
      <w:lvlJc w:val="left"/>
    </w:lvl>
    <w:lvl w:ilvl="1" w:tplc="01D21AC4">
      <w:numFmt w:val="decimal"/>
      <w:lvlText w:val=""/>
      <w:lvlJc w:val="left"/>
    </w:lvl>
    <w:lvl w:ilvl="2" w:tplc="22A20FAA">
      <w:numFmt w:val="decimal"/>
      <w:lvlText w:val=""/>
      <w:lvlJc w:val="left"/>
    </w:lvl>
    <w:lvl w:ilvl="3" w:tplc="6DB054C8">
      <w:numFmt w:val="decimal"/>
      <w:lvlText w:val=""/>
      <w:lvlJc w:val="left"/>
    </w:lvl>
    <w:lvl w:ilvl="4" w:tplc="088ADC86">
      <w:numFmt w:val="decimal"/>
      <w:lvlText w:val=""/>
      <w:lvlJc w:val="left"/>
    </w:lvl>
    <w:lvl w:ilvl="5" w:tplc="A5762FF0">
      <w:numFmt w:val="decimal"/>
      <w:lvlText w:val=""/>
      <w:lvlJc w:val="left"/>
    </w:lvl>
    <w:lvl w:ilvl="6" w:tplc="7CC2AFE6">
      <w:numFmt w:val="decimal"/>
      <w:lvlText w:val=""/>
      <w:lvlJc w:val="left"/>
    </w:lvl>
    <w:lvl w:ilvl="7" w:tplc="B22CD04C">
      <w:numFmt w:val="decimal"/>
      <w:lvlText w:val=""/>
      <w:lvlJc w:val="left"/>
    </w:lvl>
    <w:lvl w:ilvl="8" w:tplc="B3240688">
      <w:numFmt w:val="decimal"/>
      <w:lvlText w:val=""/>
      <w:lvlJc w:val="left"/>
    </w:lvl>
  </w:abstractNum>
  <w:abstractNum w:abstractNumId="3">
    <w:nsid w:val="0000305E"/>
    <w:multiLevelType w:val="hybridMultilevel"/>
    <w:tmpl w:val="20A00FAC"/>
    <w:lvl w:ilvl="0" w:tplc="9B94F166">
      <w:start w:val="1"/>
      <w:numFmt w:val="bullet"/>
      <w:lvlText w:val="а"/>
      <w:lvlJc w:val="left"/>
    </w:lvl>
    <w:lvl w:ilvl="1" w:tplc="9284791E">
      <w:numFmt w:val="decimal"/>
      <w:lvlText w:val=""/>
      <w:lvlJc w:val="left"/>
    </w:lvl>
    <w:lvl w:ilvl="2" w:tplc="E59AD4A2">
      <w:numFmt w:val="decimal"/>
      <w:lvlText w:val=""/>
      <w:lvlJc w:val="left"/>
    </w:lvl>
    <w:lvl w:ilvl="3" w:tplc="D5AA5B36">
      <w:numFmt w:val="decimal"/>
      <w:lvlText w:val=""/>
      <w:lvlJc w:val="left"/>
    </w:lvl>
    <w:lvl w:ilvl="4" w:tplc="942E4D7E">
      <w:numFmt w:val="decimal"/>
      <w:lvlText w:val=""/>
      <w:lvlJc w:val="left"/>
    </w:lvl>
    <w:lvl w:ilvl="5" w:tplc="4CE20D34">
      <w:numFmt w:val="decimal"/>
      <w:lvlText w:val=""/>
      <w:lvlJc w:val="left"/>
    </w:lvl>
    <w:lvl w:ilvl="6" w:tplc="D8BA0470">
      <w:numFmt w:val="decimal"/>
      <w:lvlText w:val=""/>
      <w:lvlJc w:val="left"/>
    </w:lvl>
    <w:lvl w:ilvl="7" w:tplc="B5F4DFB4">
      <w:numFmt w:val="decimal"/>
      <w:lvlText w:val=""/>
      <w:lvlJc w:val="left"/>
    </w:lvl>
    <w:lvl w:ilvl="8" w:tplc="B8ECAAEC">
      <w:numFmt w:val="decimal"/>
      <w:lvlText w:val=""/>
      <w:lvlJc w:val="left"/>
    </w:lvl>
  </w:abstractNum>
  <w:abstractNum w:abstractNumId="4">
    <w:nsid w:val="1A7D5D66"/>
    <w:multiLevelType w:val="hybridMultilevel"/>
    <w:tmpl w:val="CA14EE8A"/>
    <w:lvl w:ilvl="0" w:tplc="D6E234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34FE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807D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960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A8A7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82E8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D47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EADB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E00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27E4677"/>
    <w:multiLevelType w:val="hybridMultilevel"/>
    <w:tmpl w:val="E91A375C"/>
    <w:lvl w:ilvl="0" w:tplc="53F433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A027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2056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AE05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ECC8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80D3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2CEB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9CF6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90CF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30E64EA"/>
    <w:multiLevelType w:val="hybridMultilevel"/>
    <w:tmpl w:val="83F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5128"/>
    <w:multiLevelType w:val="hybridMultilevel"/>
    <w:tmpl w:val="6BE46AC2"/>
    <w:lvl w:ilvl="0" w:tplc="13EEFB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82BA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6C58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702F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3E09A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E6C3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4A34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A045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A33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3F80450B"/>
    <w:multiLevelType w:val="hybridMultilevel"/>
    <w:tmpl w:val="EF36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6F54"/>
    <w:multiLevelType w:val="hybridMultilevel"/>
    <w:tmpl w:val="8FD8D468"/>
    <w:lvl w:ilvl="0" w:tplc="29D8C0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5E67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B6E4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4E71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AC88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C637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F465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FE069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FE36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42C25A93"/>
    <w:multiLevelType w:val="multilevel"/>
    <w:tmpl w:val="F2F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F7D4B"/>
    <w:multiLevelType w:val="hybridMultilevel"/>
    <w:tmpl w:val="48A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B74E4"/>
    <w:multiLevelType w:val="hybridMultilevel"/>
    <w:tmpl w:val="2E78FC14"/>
    <w:lvl w:ilvl="0" w:tplc="178483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6CA1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60A4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FC53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D8FF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4DC34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F4F9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6451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76F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5A64072F"/>
    <w:multiLevelType w:val="hybridMultilevel"/>
    <w:tmpl w:val="5F98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64879"/>
    <w:multiLevelType w:val="hybridMultilevel"/>
    <w:tmpl w:val="180C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2A6D"/>
    <w:multiLevelType w:val="hybridMultilevel"/>
    <w:tmpl w:val="BF2EEC6A"/>
    <w:lvl w:ilvl="0" w:tplc="5E9847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123E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98FF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B067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16A3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F033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3EF5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9841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3677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667D0DAA"/>
    <w:multiLevelType w:val="hybridMultilevel"/>
    <w:tmpl w:val="DD3ABD30"/>
    <w:lvl w:ilvl="0" w:tplc="8FA645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9B211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9AA9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CA60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20DC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2C04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EC35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B203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A48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686833D4"/>
    <w:multiLevelType w:val="hybridMultilevel"/>
    <w:tmpl w:val="0EBA6B26"/>
    <w:lvl w:ilvl="0" w:tplc="1F8E0F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38A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30C6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32BF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B668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F85D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5646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E409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9CB8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702B71D7"/>
    <w:multiLevelType w:val="multilevel"/>
    <w:tmpl w:val="1546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01222"/>
    <w:multiLevelType w:val="hybridMultilevel"/>
    <w:tmpl w:val="4D6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00FEE"/>
    <w:multiLevelType w:val="multilevel"/>
    <w:tmpl w:val="9B1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46371"/>
    <w:multiLevelType w:val="hybridMultilevel"/>
    <w:tmpl w:val="E9E6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21"/>
  </w:num>
  <w:num w:numId="9">
    <w:abstractNumId w:val="6"/>
  </w:num>
  <w:num w:numId="10">
    <w:abstractNumId w:val="18"/>
  </w:num>
  <w:num w:numId="11">
    <w:abstractNumId w:val="15"/>
  </w:num>
  <w:num w:numId="12">
    <w:abstractNumId w:val="7"/>
  </w:num>
  <w:num w:numId="13">
    <w:abstractNumId w:val="9"/>
  </w:num>
  <w:num w:numId="14">
    <w:abstractNumId w:val="17"/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20"/>
  </w:num>
  <w:num w:numId="20">
    <w:abstractNumId w:val="10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E"/>
    <w:rsid w:val="000853E5"/>
    <w:rsid w:val="000C7A21"/>
    <w:rsid w:val="000E1647"/>
    <w:rsid w:val="001802DC"/>
    <w:rsid w:val="001B2B9E"/>
    <w:rsid w:val="001D74AB"/>
    <w:rsid w:val="002B1F8C"/>
    <w:rsid w:val="00344251"/>
    <w:rsid w:val="003541E9"/>
    <w:rsid w:val="003C160E"/>
    <w:rsid w:val="003F2865"/>
    <w:rsid w:val="004A1F81"/>
    <w:rsid w:val="004F0F0C"/>
    <w:rsid w:val="005511FC"/>
    <w:rsid w:val="005F3FC6"/>
    <w:rsid w:val="00662724"/>
    <w:rsid w:val="00674499"/>
    <w:rsid w:val="00697201"/>
    <w:rsid w:val="0077127C"/>
    <w:rsid w:val="0098438A"/>
    <w:rsid w:val="00A3695A"/>
    <w:rsid w:val="00A518D2"/>
    <w:rsid w:val="00AA6498"/>
    <w:rsid w:val="00AE2D9C"/>
    <w:rsid w:val="00B177CE"/>
    <w:rsid w:val="00B6362A"/>
    <w:rsid w:val="00B716EB"/>
    <w:rsid w:val="00B96110"/>
    <w:rsid w:val="00BE477E"/>
    <w:rsid w:val="00C06312"/>
    <w:rsid w:val="00C27B16"/>
    <w:rsid w:val="00CE5D2B"/>
    <w:rsid w:val="00D2316E"/>
    <w:rsid w:val="00D956E5"/>
    <w:rsid w:val="00E763AD"/>
    <w:rsid w:val="00F13898"/>
    <w:rsid w:val="00F8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7"/>
  </w:style>
  <w:style w:type="paragraph" w:styleId="1">
    <w:name w:val="heading 1"/>
    <w:basedOn w:val="a"/>
    <w:next w:val="a"/>
    <w:link w:val="10"/>
    <w:uiPriority w:val="9"/>
    <w:qFormat/>
    <w:rsid w:val="00AA649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49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1F8C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B1F8C"/>
    <w:pPr>
      <w:spacing w:after="100"/>
    </w:pPr>
  </w:style>
  <w:style w:type="character" w:styleId="a6">
    <w:name w:val="Hyperlink"/>
    <w:basedOn w:val="a0"/>
    <w:uiPriority w:val="99"/>
    <w:unhideWhenUsed/>
    <w:rsid w:val="002B1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D"/>
  </w:style>
  <w:style w:type="paragraph" w:styleId="ac">
    <w:name w:val="footer"/>
    <w:basedOn w:val="a"/>
    <w:link w:val="ad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7"/>
  </w:style>
  <w:style w:type="paragraph" w:styleId="1">
    <w:name w:val="heading 1"/>
    <w:basedOn w:val="a"/>
    <w:next w:val="a"/>
    <w:link w:val="10"/>
    <w:uiPriority w:val="9"/>
    <w:qFormat/>
    <w:rsid w:val="00AA649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49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1F8C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B1F8C"/>
    <w:pPr>
      <w:spacing w:after="100"/>
    </w:pPr>
  </w:style>
  <w:style w:type="character" w:styleId="a6">
    <w:name w:val="Hyperlink"/>
    <w:basedOn w:val="a0"/>
    <w:uiPriority w:val="99"/>
    <w:unhideWhenUsed/>
    <w:rsid w:val="002B1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F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D"/>
  </w:style>
  <w:style w:type="paragraph" w:styleId="ac">
    <w:name w:val="footer"/>
    <w:basedOn w:val="a"/>
    <w:link w:val="ad"/>
    <w:uiPriority w:val="99"/>
    <w:unhideWhenUsed/>
    <w:rsid w:val="00E7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5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BC4E-DBD4-4F48-BF84-332D2582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cp:lastPrinted>2020-01-09T08:52:00Z</cp:lastPrinted>
  <dcterms:created xsi:type="dcterms:W3CDTF">2021-06-07T11:18:00Z</dcterms:created>
  <dcterms:modified xsi:type="dcterms:W3CDTF">2021-06-07T15:50:00Z</dcterms:modified>
</cp:coreProperties>
</file>