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10" w:rsidRPr="00C410E9" w:rsidRDefault="00792C10" w:rsidP="00792C10">
      <w:pPr>
        <w:widowControl w:val="0"/>
        <w:suppressAutoHyphens/>
        <w:ind w:left="-180" w:right="-180" w:hanging="180"/>
        <w:jc w:val="center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kern w:val="1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МЗ РФ</w:t>
      </w:r>
    </w:p>
    <w:p w:rsidR="00792C10" w:rsidRPr="00C410E9" w:rsidRDefault="00792C10" w:rsidP="00792C10">
      <w:pPr>
        <w:widowControl w:val="0"/>
        <w:suppressAutoHyphens/>
        <w:ind w:left="-180" w:right="-180" w:hanging="180"/>
        <w:jc w:val="center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Кафедра </w:t>
      </w:r>
      <w:r w:rsidRPr="00C410E9">
        <w:rPr>
          <w:rFonts w:ascii="Times New Roman" w:hAnsi="Times New Roman"/>
          <w:color w:val="000000" w:themeColor="text1"/>
          <w:kern w:val="1"/>
          <w:sz w:val="28"/>
          <w:szCs w:val="28"/>
        </w:rPr>
        <w:t>детских болезней с курсом ПО</w:t>
      </w:r>
    </w:p>
    <w:p w:rsidR="00792C10" w:rsidRPr="00C410E9" w:rsidRDefault="00792C10" w:rsidP="00792C10">
      <w:pPr>
        <w:widowControl w:val="0"/>
        <w:suppressAutoHyphens/>
        <w:spacing w:after="120"/>
        <w:ind w:left="4962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kern w:val="1"/>
          <w:sz w:val="28"/>
          <w:szCs w:val="28"/>
        </w:rPr>
        <w:t>Зав. кафедрой: д.м.н</w:t>
      </w:r>
      <w:r w:rsidRPr="00C410E9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., </w:t>
      </w:r>
      <w:r w:rsidRPr="00C410E9">
        <w:rPr>
          <w:rFonts w:ascii="Times New Roman" w:hAnsi="Times New Roman"/>
          <w:color w:val="000000" w:themeColor="text1"/>
          <w:kern w:val="1"/>
          <w:sz w:val="28"/>
          <w:szCs w:val="28"/>
        </w:rPr>
        <w:t>профессор        Ильенкова Н.А.</w:t>
      </w:r>
    </w:p>
    <w:p w:rsidR="00792C10" w:rsidRPr="00C410E9" w:rsidRDefault="00792C10" w:rsidP="00792C10">
      <w:pPr>
        <w:widowControl w:val="0"/>
        <w:suppressAutoHyphens/>
        <w:spacing w:after="120"/>
        <w:ind w:left="4962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kern w:val="1"/>
          <w:sz w:val="28"/>
          <w:szCs w:val="28"/>
        </w:rPr>
        <w:t>Базов</w:t>
      </w:r>
      <w:r w:rsidRPr="00C410E9">
        <w:rPr>
          <w:rFonts w:ascii="Times New Roman" w:hAnsi="Times New Roman"/>
          <w:color w:val="000000" w:themeColor="text1"/>
          <w:kern w:val="1"/>
          <w:sz w:val="28"/>
          <w:szCs w:val="28"/>
        </w:rPr>
        <w:t>ый руководитель: к.м.н., доцент, Нейман Е.Г</w:t>
      </w: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sz w:val="28"/>
          <w:szCs w:val="28"/>
        </w:rPr>
        <w:t>Реферат</w:t>
      </w:r>
    </w:p>
    <w:p w:rsidR="00792C10" w:rsidRPr="00C410E9" w:rsidRDefault="00792C10" w:rsidP="00792C1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>Антибиотик-ассоциированная диарея</w:t>
      </w: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792C10" w:rsidRPr="00C410E9" w:rsidRDefault="00792C10" w:rsidP="00792C1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C410E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sz w:val="28"/>
          <w:szCs w:val="28"/>
        </w:rPr>
        <w:t>Выполнил:</w:t>
      </w:r>
    </w:p>
    <w:p w:rsidR="00792C10" w:rsidRPr="00C410E9" w:rsidRDefault="00792C10" w:rsidP="00792C1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sz w:val="28"/>
          <w:szCs w:val="28"/>
        </w:rPr>
        <w:t>Ординатор 1 года обучения</w:t>
      </w:r>
    </w:p>
    <w:p w:rsidR="00792C10" w:rsidRPr="00C410E9" w:rsidRDefault="00792C10" w:rsidP="00792C1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Специальность: </w:t>
      </w:r>
      <w:r w:rsidRPr="00C410E9">
        <w:rPr>
          <w:rFonts w:ascii="Times New Roman" w:hAnsi="Times New Roman"/>
          <w:color w:val="000000" w:themeColor="text1"/>
          <w:sz w:val="28"/>
          <w:szCs w:val="28"/>
        </w:rPr>
        <w:t>Педиатрия</w:t>
      </w:r>
    </w:p>
    <w:p w:rsidR="00792C10" w:rsidRPr="00C410E9" w:rsidRDefault="00792C10" w:rsidP="00792C1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sz w:val="28"/>
          <w:szCs w:val="28"/>
        </w:rPr>
        <w:t>Иванов М.С</w:t>
      </w:r>
    </w:p>
    <w:p w:rsidR="00792C10" w:rsidRPr="00C410E9" w:rsidRDefault="00792C10" w:rsidP="00792C1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9427E" w:rsidRPr="00C410E9" w:rsidRDefault="00792C10" w:rsidP="00C410E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sz w:val="28"/>
          <w:szCs w:val="28"/>
        </w:rPr>
        <w:t>Красноярск, 2022</w:t>
      </w:r>
    </w:p>
    <w:p w:rsidR="00792C10" w:rsidRPr="00C410E9" w:rsidRDefault="00792C10" w:rsidP="00792C10">
      <w:pPr>
        <w:pStyle w:val="a3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792C10" w:rsidRPr="00C410E9" w:rsidRDefault="00792C10" w:rsidP="00C410E9">
      <w:pPr>
        <w:pStyle w:val="2"/>
        <w:rPr>
          <w:rStyle w:val="a4"/>
          <w:bCs w:val="0"/>
        </w:rPr>
      </w:pPr>
      <w:r w:rsidRPr="00C410E9">
        <w:fldChar w:fldCharType="begin"/>
      </w:r>
      <w:r w:rsidRPr="00C410E9">
        <w:instrText xml:space="preserve"> TOC \o "1-3" \h \z \u </w:instrText>
      </w:r>
      <w:r w:rsidRPr="00C410E9">
        <w:fldChar w:fldCharType="separate"/>
      </w:r>
    </w:p>
    <w:p w:rsidR="00792C10" w:rsidRPr="00C94C1A" w:rsidRDefault="00792C10" w:rsidP="00C410E9">
      <w:pPr>
        <w:pStyle w:val="2"/>
        <w:rPr>
          <w:rStyle w:val="a4"/>
          <w:bCs w:val="0"/>
          <w:color w:val="000000" w:themeColor="text1"/>
          <w:lang w:eastAsia="en-US"/>
        </w:rPr>
      </w:pPr>
      <w:hyperlink w:anchor="_Toc33179693" w:history="1">
        <w:r w:rsidRPr="00C94C1A">
          <w:rPr>
            <w:rStyle w:val="a4"/>
            <w:bCs w:val="0"/>
            <w:color w:val="000000" w:themeColor="text1"/>
            <w:lang w:eastAsia="en-US"/>
          </w:rPr>
          <w:t>1 Определение</w:t>
        </w:r>
        <w:r w:rsidRPr="00C94C1A">
          <w:rPr>
            <w:rStyle w:val="a4"/>
            <w:bCs w:val="0"/>
            <w:webHidden/>
            <w:color w:val="000000" w:themeColor="text1"/>
            <w:lang w:eastAsia="en-US"/>
          </w:rPr>
          <w:tab/>
        </w:r>
      </w:hyperlink>
      <w:r w:rsidRPr="00C94C1A">
        <w:rPr>
          <w:rStyle w:val="a4"/>
          <w:bCs w:val="0"/>
          <w:color w:val="000000" w:themeColor="text1"/>
          <w:lang w:eastAsia="en-US"/>
        </w:rPr>
        <w:t>3</w:t>
      </w:r>
    </w:p>
    <w:p w:rsidR="00C410E9" w:rsidRDefault="00792C10" w:rsidP="00C410E9">
      <w:pPr>
        <w:pStyle w:val="1"/>
        <w:tabs>
          <w:tab w:val="right" w:leader="dot" w:pos="9629"/>
        </w:tabs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hyperlink w:anchor="_Toc33179700" w:history="1">
        <w:r w:rsidR="00B16FF8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>2</w:t>
        </w:r>
        <w:r w:rsidRPr="00C94C1A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Этиология и патогенез</w:t>
        </w:r>
        <w:r w:rsidRPr="00C94C1A">
          <w:rPr>
            <w:rStyle w:val="a4"/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Pr="00C94C1A">
        <w:rPr>
          <w:rStyle w:val="a4"/>
          <w:rFonts w:ascii="Times New Roman" w:hAnsi="Times New Roman"/>
          <w:color w:val="000000" w:themeColor="text1"/>
          <w:sz w:val="28"/>
          <w:szCs w:val="28"/>
        </w:rPr>
        <w:t>3</w:t>
      </w:r>
    </w:p>
    <w:p w:rsidR="00B16FF8" w:rsidRPr="00B16FF8" w:rsidRDefault="00B16FF8" w:rsidP="00B16FF8">
      <w:pPr>
        <w:pStyle w:val="2"/>
        <w:rPr>
          <w:bCs w:val="0"/>
          <w:color w:val="000000" w:themeColor="text1"/>
          <w:u w:val="single"/>
          <w:lang w:eastAsia="en-US"/>
        </w:rPr>
      </w:pPr>
      <w:r>
        <w:rPr>
          <w:rStyle w:val="a4"/>
          <w:bCs w:val="0"/>
          <w:color w:val="000000" w:themeColor="text1"/>
          <w:lang w:eastAsia="en-US"/>
        </w:rPr>
        <w:t>3</w:t>
      </w:r>
      <w:r w:rsidRPr="00C94C1A">
        <w:rPr>
          <w:rStyle w:val="a4"/>
          <w:bCs w:val="0"/>
          <w:color w:val="000000" w:themeColor="text1"/>
          <w:lang w:eastAsia="en-US"/>
        </w:rPr>
        <w:t xml:space="preserve"> Общая информация……………………………………………………………</w:t>
      </w:r>
      <w:r w:rsidR="001F0C9D">
        <w:rPr>
          <w:rStyle w:val="a4"/>
          <w:bCs w:val="0"/>
          <w:color w:val="000000" w:themeColor="text1"/>
          <w:lang w:eastAsia="en-US"/>
        </w:rPr>
        <w:t>..4</w:t>
      </w:r>
    </w:p>
    <w:p w:rsidR="00792C10" w:rsidRPr="00C94C1A" w:rsidRDefault="00792C10" w:rsidP="00C410E9">
      <w:pPr>
        <w:pStyle w:val="2"/>
        <w:rPr>
          <w:rStyle w:val="a4"/>
          <w:bCs w:val="0"/>
          <w:color w:val="000000" w:themeColor="text1"/>
          <w:lang w:eastAsia="en-US"/>
        </w:rPr>
      </w:pPr>
      <w:hyperlink w:anchor="_Toc33179701" w:history="1">
        <w:r w:rsidR="00C410E9" w:rsidRPr="00C94C1A">
          <w:rPr>
            <w:rStyle w:val="a4"/>
            <w:bCs w:val="0"/>
            <w:color w:val="000000" w:themeColor="text1"/>
            <w:lang w:eastAsia="en-US"/>
          </w:rPr>
          <w:t>4</w:t>
        </w:r>
        <w:r w:rsidRPr="00C94C1A">
          <w:rPr>
            <w:rStyle w:val="a4"/>
            <w:bCs w:val="0"/>
            <w:color w:val="000000" w:themeColor="text1"/>
            <w:lang w:eastAsia="en-US"/>
          </w:rPr>
          <w:t xml:space="preserve">  </w:t>
        </w:r>
        <w:r w:rsidR="00D05623">
          <w:rPr>
            <w:rStyle w:val="a4"/>
            <w:bCs w:val="0"/>
            <w:color w:val="000000" w:themeColor="text1"/>
            <w:lang w:eastAsia="en-US"/>
          </w:rPr>
          <w:t>Клинические формы</w:t>
        </w:r>
        <w:r w:rsidRPr="00C94C1A">
          <w:rPr>
            <w:rStyle w:val="a4"/>
            <w:bCs w:val="0"/>
            <w:webHidden/>
            <w:color w:val="000000" w:themeColor="text1"/>
            <w:lang w:eastAsia="en-US"/>
          </w:rPr>
          <w:tab/>
        </w:r>
      </w:hyperlink>
      <w:r w:rsidRPr="00C94C1A">
        <w:rPr>
          <w:rStyle w:val="a4"/>
          <w:bCs w:val="0"/>
          <w:color w:val="000000" w:themeColor="text1"/>
          <w:lang w:eastAsia="en-US"/>
        </w:rPr>
        <w:t>4</w:t>
      </w:r>
    </w:p>
    <w:p w:rsidR="00792C10" w:rsidRPr="00C94C1A" w:rsidRDefault="00792C10" w:rsidP="00C410E9">
      <w:pPr>
        <w:pStyle w:val="2"/>
        <w:rPr>
          <w:rStyle w:val="a4"/>
          <w:bCs w:val="0"/>
          <w:color w:val="000000" w:themeColor="text1"/>
          <w:lang w:eastAsia="en-US"/>
        </w:rPr>
      </w:pPr>
      <w:hyperlink w:anchor="_Toc33179702" w:history="1">
        <w:r w:rsidR="00C410E9" w:rsidRPr="00C94C1A">
          <w:rPr>
            <w:rStyle w:val="a4"/>
            <w:bCs w:val="0"/>
            <w:color w:val="000000" w:themeColor="text1"/>
            <w:lang w:eastAsia="en-US"/>
          </w:rPr>
          <w:t>5</w:t>
        </w:r>
        <w:r w:rsidRPr="00C94C1A">
          <w:rPr>
            <w:rStyle w:val="a4"/>
            <w:bCs w:val="0"/>
            <w:color w:val="000000" w:themeColor="text1"/>
            <w:lang w:eastAsia="en-US"/>
          </w:rPr>
          <w:t xml:space="preserve">  </w:t>
        </w:r>
        <w:r w:rsidRPr="00C94C1A">
          <w:rPr>
            <w:rStyle w:val="a4"/>
            <w:bCs w:val="0"/>
            <w:color w:val="000000" w:themeColor="text1"/>
            <w:lang w:eastAsia="en-US"/>
          </w:rPr>
          <w:t xml:space="preserve">Диагностика </w:t>
        </w:r>
        <w:r w:rsidRPr="00C94C1A">
          <w:rPr>
            <w:rStyle w:val="a4"/>
            <w:bCs w:val="0"/>
            <w:webHidden/>
            <w:color w:val="000000" w:themeColor="text1"/>
            <w:lang w:eastAsia="en-US"/>
          </w:rPr>
          <w:tab/>
        </w:r>
      </w:hyperlink>
      <w:r w:rsidR="00482B7F">
        <w:rPr>
          <w:rStyle w:val="a4"/>
          <w:bCs w:val="0"/>
          <w:color w:val="000000" w:themeColor="text1"/>
          <w:lang w:eastAsia="en-US"/>
        </w:rPr>
        <w:t>5</w:t>
      </w:r>
    </w:p>
    <w:p w:rsidR="00792C10" w:rsidRPr="00C94C1A" w:rsidRDefault="00792C10" w:rsidP="00C410E9">
      <w:pPr>
        <w:pStyle w:val="2"/>
        <w:rPr>
          <w:rStyle w:val="a4"/>
          <w:bCs w:val="0"/>
          <w:color w:val="000000" w:themeColor="text1"/>
          <w:lang w:eastAsia="en-US"/>
        </w:rPr>
      </w:pPr>
      <w:hyperlink w:anchor="_Toc33179704" w:history="1">
        <w:r w:rsidR="00C410E9" w:rsidRPr="00C94C1A">
          <w:rPr>
            <w:rStyle w:val="a4"/>
            <w:bCs w:val="0"/>
            <w:color w:val="000000" w:themeColor="text1"/>
            <w:lang w:eastAsia="en-US"/>
          </w:rPr>
          <w:t>6</w:t>
        </w:r>
        <w:r w:rsidRPr="00C94C1A">
          <w:rPr>
            <w:rStyle w:val="a4"/>
            <w:bCs w:val="0"/>
            <w:color w:val="000000" w:themeColor="text1"/>
            <w:lang w:eastAsia="en-US"/>
          </w:rPr>
          <w:t xml:space="preserve">  </w:t>
        </w:r>
        <w:r w:rsidRPr="00C94C1A">
          <w:rPr>
            <w:rStyle w:val="a4"/>
            <w:bCs w:val="0"/>
            <w:color w:val="000000" w:themeColor="text1"/>
            <w:lang w:eastAsia="en-US"/>
          </w:rPr>
          <w:t>Лечение</w:t>
        </w:r>
        <w:r w:rsidRPr="00C94C1A">
          <w:rPr>
            <w:rStyle w:val="a4"/>
            <w:bCs w:val="0"/>
            <w:webHidden/>
            <w:color w:val="000000" w:themeColor="text1"/>
            <w:lang w:eastAsia="en-US"/>
          </w:rPr>
          <w:tab/>
        </w:r>
      </w:hyperlink>
      <w:r w:rsidR="00482B7F">
        <w:rPr>
          <w:rStyle w:val="a4"/>
          <w:bCs w:val="0"/>
          <w:color w:val="000000" w:themeColor="text1"/>
          <w:lang w:eastAsia="en-US"/>
        </w:rPr>
        <w:t>5</w:t>
      </w:r>
    </w:p>
    <w:p w:rsidR="00792C10" w:rsidRPr="00C94C1A" w:rsidRDefault="00792C10" w:rsidP="00792C10">
      <w:pPr>
        <w:pStyle w:val="1"/>
        <w:tabs>
          <w:tab w:val="right" w:leader="dot" w:pos="9629"/>
        </w:tabs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C94C1A">
        <w:rPr>
          <w:rStyle w:val="a4"/>
          <w:rFonts w:ascii="Times New Roman" w:hAnsi="Times New Roman"/>
          <w:noProof/>
          <w:color w:val="000000" w:themeColor="text1"/>
          <w:sz w:val="28"/>
          <w:szCs w:val="28"/>
        </w:rPr>
        <w:fldChar w:fldCharType="begin"/>
      </w:r>
      <w:r w:rsidRPr="00C94C1A">
        <w:rPr>
          <w:rStyle w:val="a4"/>
          <w:rFonts w:ascii="Times New Roman" w:hAnsi="Times New Roman"/>
          <w:noProof/>
          <w:color w:val="000000" w:themeColor="text1"/>
          <w:sz w:val="28"/>
          <w:szCs w:val="28"/>
        </w:rPr>
        <w:instrText xml:space="preserve"> HYPERLINK \l "_Toc33179705" </w:instrText>
      </w:r>
      <w:r w:rsidRPr="00C94C1A">
        <w:rPr>
          <w:rStyle w:val="a4"/>
          <w:rFonts w:ascii="Times New Roman" w:hAnsi="Times New Roman"/>
          <w:noProof/>
          <w:color w:val="000000" w:themeColor="text1"/>
          <w:sz w:val="28"/>
          <w:szCs w:val="28"/>
        </w:rPr>
        <w:fldChar w:fldCharType="separate"/>
      </w:r>
      <w:r w:rsidR="00C410E9" w:rsidRPr="00C94C1A">
        <w:rPr>
          <w:rStyle w:val="a4"/>
          <w:rFonts w:ascii="Times New Roman" w:hAnsi="Times New Roman"/>
          <w:noProof/>
          <w:color w:val="000000" w:themeColor="text1"/>
          <w:sz w:val="28"/>
          <w:szCs w:val="28"/>
        </w:rPr>
        <w:t>7</w:t>
      </w:r>
      <w:r w:rsidRPr="00C94C1A">
        <w:rPr>
          <w:rStyle w:val="a4"/>
          <w:rFonts w:ascii="Times New Roman" w:hAnsi="Times New Roman"/>
          <w:noProof/>
          <w:color w:val="000000" w:themeColor="text1"/>
          <w:sz w:val="28"/>
          <w:szCs w:val="28"/>
        </w:rPr>
        <w:t xml:space="preserve">  Профилактика </w:t>
      </w:r>
      <w:r w:rsidR="00482B7F">
        <w:rPr>
          <w:rStyle w:val="a4"/>
          <w:rFonts w:ascii="Times New Roman" w:hAnsi="Times New Roman"/>
          <w:noProof/>
          <w:color w:val="000000" w:themeColor="text1"/>
          <w:sz w:val="28"/>
          <w:szCs w:val="28"/>
        </w:rPr>
        <w:t>……………</w:t>
      </w:r>
      <w:r w:rsidRPr="00C94C1A">
        <w:rPr>
          <w:rStyle w:val="a4"/>
          <w:rFonts w:ascii="Times New Roman" w:hAnsi="Times New Roman"/>
          <w:noProof/>
          <w:webHidden/>
          <w:color w:val="000000" w:themeColor="text1"/>
          <w:sz w:val="28"/>
          <w:szCs w:val="28"/>
        </w:rPr>
        <w:tab/>
      </w:r>
      <w:r w:rsidRPr="00C94C1A">
        <w:rPr>
          <w:rStyle w:val="a4"/>
          <w:rFonts w:ascii="Times New Roman" w:hAnsi="Times New Roman"/>
          <w:noProof/>
          <w:color w:val="000000" w:themeColor="text1"/>
          <w:sz w:val="28"/>
          <w:szCs w:val="28"/>
        </w:rPr>
        <w:fldChar w:fldCharType="end"/>
      </w:r>
      <w:r w:rsidR="00482B7F">
        <w:rPr>
          <w:rStyle w:val="a4"/>
          <w:rFonts w:ascii="Times New Roman" w:hAnsi="Times New Roman"/>
          <w:color w:val="000000" w:themeColor="text1"/>
          <w:sz w:val="28"/>
          <w:szCs w:val="28"/>
        </w:rPr>
        <w:t>5</w:t>
      </w:r>
      <w:bookmarkStart w:id="0" w:name="_GoBack"/>
      <w:bookmarkEnd w:id="0"/>
    </w:p>
    <w:p w:rsidR="00792C10" w:rsidRPr="00C94C1A" w:rsidRDefault="00482B7F" w:rsidP="00792C10">
      <w:pPr>
        <w:pStyle w:val="1"/>
        <w:tabs>
          <w:tab w:val="right" w:leader="dot" w:pos="9629"/>
        </w:tabs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noProof/>
          <w:color w:val="000000" w:themeColor="text1"/>
          <w:sz w:val="28"/>
          <w:szCs w:val="28"/>
        </w:rPr>
        <w:t xml:space="preserve">8  </w:t>
      </w:r>
      <w:hyperlink w:anchor="_Toc33179713" w:history="1">
        <w:r w:rsidR="00792C10" w:rsidRPr="00C94C1A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>Список использованных источников</w:t>
        </w:r>
        <w:r w:rsidR="00792C10" w:rsidRPr="00C94C1A">
          <w:rPr>
            <w:rStyle w:val="a4"/>
            <w:rFonts w:ascii="Times New Roman" w:hAnsi="Times New Roman"/>
            <w:webHidden/>
            <w:color w:val="000000" w:themeColor="text1"/>
            <w:sz w:val="28"/>
            <w:szCs w:val="28"/>
          </w:rPr>
          <w:tab/>
        </w:r>
      </w:hyperlink>
      <w:r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82B7F" w:rsidRPr="00C410E9" w:rsidRDefault="00482B7F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C410E9" w:rsidRDefault="00792C10" w:rsidP="00792C1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C10" w:rsidRPr="001F0C9D" w:rsidRDefault="00792C10" w:rsidP="001F0C9D">
      <w:pPr>
        <w:pStyle w:val="a3"/>
        <w:spacing w:line="276" w:lineRule="auto"/>
        <w:jc w:val="both"/>
        <w:outlineLvl w:val="0"/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bookmarkStart w:id="1" w:name="_Toc33179693"/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 </w:t>
      </w:r>
      <w:bookmarkEnd w:id="1"/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>Определение</w:t>
      </w:r>
    </w:p>
    <w:p w:rsidR="00792C10" w:rsidRDefault="00792C10" w:rsidP="00C410E9">
      <w:pPr>
        <w:pStyle w:val="2"/>
        <w:rPr>
          <w:rStyle w:val="a4"/>
          <w:bCs w:val="0"/>
          <w:color w:val="000000" w:themeColor="text1"/>
          <w:u w:val="none"/>
        </w:rPr>
      </w:pPr>
      <w:proofErr w:type="spellStart"/>
      <w:r w:rsidRPr="00C410E9">
        <w:rPr>
          <w:rStyle w:val="a4"/>
          <w:bCs w:val="0"/>
          <w:color w:val="000000" w:themeColor="text1"/>
          <w:u w:val="none"/>
        </w:rPr>
        <w:t>Clostridium</w:t>
      </w:r>
      <w:proofErr w:type="spellEnd"/>
      <w:r w:rsidRPr="00C410E9">
        <w:rPr>
          <w:rStyle w:val="a4"/>
          <w:bCs w:val="0"/>
          <w:color w:val="000000" w:themeColor="text1"/>
          <w:u w:val="none"/>
        </w:rPr>
        <w:t xml:space="preserve"> </w:t>
      </w:r>
      <w:proofErr w:type="spellStart"/>
      <w:r w:rsidRPr="00C410E9">
        <w:rPr>
          <w:rStyle w:val="a4"/>
          <w:bCs w:val="0"/>
          <w:color w:val="000000" w:themeColor="text1"/>
          <w:u w:val="none"/>
        </w:rPr>
        <w:t>difficile</w:t>
      </w:r>
      <w:proofErr w:type="spellEnd"/>
      <w:r w:rsidRPr="00C410E9">
        <w:rPr>
          <w:rStyle w:val="a4"/>
          <w:bCs w:val="0"/>
          <w:color w:val="000000" w:themeColor="text1"/>
          <w:u w:val="none"/>
        </w:rPr>
        <w:t xml:space="preserve">-ассоциированная инфекция (CDI) — заболевание, развивающееся при нарушении кишечного </w:t>
      </w:r>
      <w:proofErr w:type="spellStart"/>
      <w:r w:rsidRPr="00C410E9">
        <w:rPr>
          <w:rStyle w:val="a4"/>
          <w:bCs w:val="0"/>
          <w:color w:val="000000" w:themeColor="text1"/>
          <w:u w:val="none"/>
        </w:rPr>
        <w:t>микробиома</w:t>
      </w:r>
      <w:proofErr w:type="spellEnd"/>
      <w:r w:rsidRPr="00C410E9">
        <w:rPr>
          <w:rStyle w:val="a4"/>
          <w:bCs w:val="0"/>
          <w:color w:val="000000" w:themeColor="text1"/>
          <w:u w:val="none"/>
        </w:rPr>
        <w:t xml:space="preserve"> с избыточной колонизацией </w:t>
      </w:r>
      <w:proofErr w:type="spellStart"/>
      <w:r w:rsidRPr="00C410E9">
        <w:rPr>
          <w:rStyle w:val="a4"/>
          <w:bCs w:val="0"/>
          <w:color w:val="000000" w:themeColor="text1"/>
          <w:u w:val="none"/>
        </w:rPr>
        <w:t>Clostridium</w:t>
      </w:r>
      <w:proofErr w:type="spellEnd"/>
      <w:r w:rsidRPr="00C410E9">
        <w:rPr>
          <w:rStyle w:val="a4"/>
          <w:bCs w:val="0"/>
          <w:color w:val="000000" w:themeColor="text1"/>
          <w:u w:val="none"/>
        </w:rPr>
        <w:t xml:space="preserve"> (</w:t>
      </w:r>
      <w:proofErr w:type="spellStart"/>
      <w:r w:rsidRPr="00C410E9">
        <w:rPr>
          <w:rStyle w:val="a4"/>
          <w:bCs w:val="0"/>
          <w:color w:val="000000" w:themeColor="text1"/>
          <w:u w:val="none"/>
        </w:rPr>
        <w:t>Clostridioides</w:t>
      </w:r>
      <w:proofErr w:type="spellEnd"/>
      <w:r w:rsidRPr="00C410E9">
        <w:rPr>
          <w:rStyle w:val="a4"/>
          <w:bCs w:val="0"/>
          <w:color w:val="000000" w:themeColor="text1"/>
          <w:u w:val="none"/>
        </w:rPr>
        <w:t xml:space="preserve">) </w:t>
      </w:r>
      <w:proofErr w:type="spellStart"/>
      <w:r w:rsidRPr="00C410E9">
        <w:rPr>
          <w:rStyle w:val="a4"/>
          <w:bCs w:val="0"/>
          <w:color w:val="000000" w:themeColor="text1"/>
          <w:u w:val="none"/>
        </w:rPr>
        <w:t>difficile</w:t>
      </w:r>
      <w:proofErr w:type="spellEnd"/>
      <w:r w:rsidRPr="00C410E9">
        <w:rPr>
          <w:rStyle w:val="a4"/>
          <w:bCs w:val="0"/>
          <w:color w:val="000000" w:themeColor="text1"/>
          <w:u w:val="none"/>
        </w:rPr>
        <w:t xml:space="preserve">, токсины которой вызывают воспаление и повреждение слизистой оболочки толстой кишки. Псевдомембранозный колит — колит, как правило, вызванный </w:t>
      </w:r>
      <w:proofErr w:type="spellStart"/>
      <w:r w:rsidRPr="00C410E9">
        <w:rPr>
          <w:rStyle w:val="a4"/>
          <w:bCs w:val="0"/>
          <w:color w:val="000000" w:themeColor="text1"/>
          <w:u w:val="none"/>
        </w:rPr>
        <w:t>токсигенной</w:t>
      </w:r>
      <w:proofErr w:type="spellEnd"/>
      <w:r w:rsidRPr="00C410E9">
        <w:rPr>
          <w:rStyle w:val="a4"/>
          <w:bCs w:val="0"/>
          <w:color w:val="000000" w:themeColor="text1"/>
          <w:u w:val="none"/>
        </w:rPr>
        <w:t xml:space="preserve"> C. </w:t>
      </w:r>
      <w:proofErr w:type="spellStart"/>
      <w:r w:rsidRPr="00C410E9">
        <w:rPr>
          <w:rStyle w:val="a4"/>
          <w:bCs w:val="0"/>
          <w:color w:val="000000" w:themeColor="text1"/>
          <w:u w:val="none"/>
        </w:rPr>
        <w:t>difficile</w:t>
      </w:r>
      <w:proofErr w:type="spellEnd"/>
      <w:r w:rsidRPr="00C410E9">
        <w:rPr>
          <w:rStyle w:val="a4"/>
          <w:bCs w:val="0"/>
          <w:color w:val="000000" w:themeColor="text1"/>
          <w:u w:val="none"/>
        </w:rPr>
        <w:t>, характерным признаком служат фибринозные наложения на слизистой оболочке толстой кишки</w:t>
      </w:r>
    </w:p>
    <w:p w:rsidR="00C233C1" w:rsidRDefault="00C233C1" w:rsidP="00C233C1">
      <w:pPr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</w:rPr>
      </w:pPr>
      <w:r w:rsidRPr="00C233C1"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  <w:t>Основные аспекты ААД</w:t>
      </w:r>
      <w:r w:rsidRPr="00C233C1"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</w:rPr>
        <w:t xml:space="preserve">: </w:t>
      </w:r>
    </w:p>
    <w:p w:rsidR="00000000" w:rsidRPr="00C233C1" w:rsidRDefault="00C233C1" w:rsidP="00C233C1">
      <w:pPr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</w:rPr>
        <w:t xml:space="preserve">- </w:t>
      </w:r>
      <w:r w:rsidR="00482B7F" w:rsidRPr="00C233C1"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  <w:t>Определяется как не связанная с другими причинами диарея</w:t>
      </w:r>
    </w:p>
    <w:p w:rsidR="00000000" w:rsidRPr="00C233C1" w:rsidRDefault="00C233C1" w:rsidP="00C233C1">
      <w:pPr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  <w:t xml:space="preserve">- </w:t>
      </w:r>
      <w:r w:rsidR="00482B7F" w:rsidRPr="00C233C1"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  <w:t>Не менее 3-х эпизодов неоформленного стула в течение 2-х последовательных дней и более</w:t>
      </w:r>
    </w:p>
    <w:p w:rsidR="00C233C1" w:rsidRPr="00C94C1A" w:rsidRDefault="00C233C1" w:rsidP="00C233C1">
      <w:pP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  <w:t xml:space="preserve">- </w:t>
      </w:r>
      <w:r w:rsidR="00482B7F" w:rsidRPr="00C233C1"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  <w:t>Развившаяся на фоне приема АБ препаратов или в течение 8 недель после окончания их приема</w:t>
      </w:r>
    </w:p>
    <w:p w:rsidR="00C410E9" w:rsidRDefault="00792C10" w:rsidP="00C410E9">
      <w:pPr>
        <w:pStyle w:val="a3"/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>Этиология и патогенез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>ИНФЕКЦИОННОГО ХАРАКТЕРА:</w:t>
      </w:r>
    </w:p>
    <w:p w:rsidR="00000000" w:rsidRPr="00C410E9" w:rsidRDefault="00482B7F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 xml:space="preserve">10–20% случаев является </w:t>
      </w:r>
      <w:r w:rsidRPr="00C410E9">
        <w:rPr>
          <w:rStyle w:val="a4"/>
          <w:bCs w:val="0"/>
          <w:color w:val="000000" w:themeColor="text1"/>
          <w:u w:val="none"/>
        </w:rPr>
        <w:t xml:space="preserve">C. </w:t>
      </w:r>
      <w:r w:rsidRPr="00C410E9">
        <w:rPr>
          <w:rStyle w:val="a4"/>
          <w:bCs w:val="0"/>
          <w:color w:val="000000" w:themeColor="text1"/>
          <w:u w:val="none"/>
        </w:rPr>
        <w:t>D</w:t>
      </w:r>
      <w:r w:rsidRPr="00C410E9">
        <w:rPr>
          <w:rStyle w:val="a4"/>
          <w:bCs w:val="0"/>
          <w:color w:val="000000" w:themeColor="text1"/>
          <w:u w:val="none"/>
        </w:rPr>
        <w:t>ifficile !!!</w:t>
      </w:r>
    </w:p>
    <w:p w:rsidR="00000000" w:rsidRPr="00C410E9" w:rsidRDefault="00482B7F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>80–90% — другие микроор</w:t>
      </w:r>
      <w:r w:rsidRPr="00C410E9">
        <w:rPr>
          <w:rStyle w:val="a4"/>
          <w:bCs w:val="0"/>
          <w:color w:val="000000" w:themeColor="text1"/>
          <w:u w:val="none"/>
        </w:rPr>
        <w:t>ганизмы (</w:t>
      </w:r>
      <w:r w:rsidRPr="00C410E9">
        <w:rPr>
          <w:rStyle w:val="a4"/>
          <w:bCs w:val="0"/>
          <w:color w:val="000000" w:themeColor="text1"/>
          <w:u w:val="none"/>
        </w:rPr>
        <w:t>Clostridium perfringens, Staphylococcus aureus, Salmonella spp., Klebsiella oxytoca, Candida spp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>НЕИНФЕКЦИОННОГО (ИДИОПАТИЧЕСКОГО) ХАРАКТЕРА: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>После отмены АБ исчезают клинические симптомы и не требует специального лечения (непосредственное влияние на моторику ЖКТ)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</w:rPr>
      </w:pPr>
      <w:r w:rsidRPr="00C410E9">
        <w:rPr>
          <w:rStyle w:val="a4"/>
          <w:bCs w:val="0"/>
          <w:color w:val="000000" w:themeColor="text1"/>
        </w:rPr>
        <w:t>Инфекционная</w:t>
      </w:r>
      <w:r w:rsidR="00482B7F">
        <w:rPr>
          <w:rStyle w:val="a4"/>
          <w:bCs w:val="0"/>
          <w:color w:val="000000" w:themeColor="text1"/>
        </w:rPr>
        <w:t>: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>1)Повышение кол-ва условно-патогенной «провоспалительной» флоры.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 xml:space="preserve">2)Снижение кол-ва и разнообразия «противовоспалительной» бутират-продуцирующей флоры 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 xml:space="preserve">3)Продукция токсинов 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>4)Повреждение и воспаление слизистой толстой кишки</w:t>
      </w:r>
    </w:p>
    <w:p w:rsidR="00C410E9" w:rsidRPr="00C410E9" w:rsidRDefault="00C410E9" w:rsidP="00C410E9">
      <w:pPr>
        <w:pStyle w:val="2"/>
        <w:rPr>
          <w:rStyle w:val="a4"/>
          <w:bCs w:val="0"/>
          <w:color w:val="000000" w:themeColor="text1"/>
        </w:rPr>
      </w:pPr>
      <w:r w:rsidRPr="00C410E9">
        <w:rPr>
          <w:rStyle w:val="a4"/>
          <w:bCs w:val="0"/>
          <w:color w:val="000000" w:themeColor="text1"/>
        </w:rPr>
        <w:t>Неинфекционная</w:t>
      </w:r>
      <w:r w:rsidR="00482B7F">
        <w:rPr>
          <w:rStyle w:val="a4"/>
          <w:bCs w:val="0"/>
          <w:color w:val="000000" w:themeColor="text1"/>
        </w:rPr>
        <w:t>:</w:t>
      </w:r>
    </w:p>
    <w:p w:rsidR="00000000" w:rsidRPr="00C410E9" w:rsidRDefault="00482B7F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 xml:space="preserve">Снижение кол-ва и разнообразия БПБ </w:t>
      </w:r>
    </w:p>
    <w:p w:rsidR="00000000" w:rsidRPr="00C410E9" w:rsidRDefault="00482B7F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 xml:space="preserve">Снижение продукции бутирата в кишечнике </w:t>
      </w:r>
    </w:p>
    <w:p w:rsidR="00000000" w:rsidRPr="00C410E9" w:rsidRDefault="00482B7F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 xml:space="preserve">Нарушение абсорбции воды и электролитов  </w:t>
      </w:r>
    </w:p>
    <w:p w:rsidR="00000000" w:rsidRPr="00C410E9" w:rsidRDefault="00482B7F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t xml:space="preserve">Снижение энергообеспечения эпителия толстой кишки </w:t>
      </w:r>
    </w:p>
    <w:p w:rsidR="00000000" w:rsidRDefault="00482B7F" w:rsidP="00C410E9">
      <w:pPr>
        <w:pStyle w:val="2"/>
        <w:rPr>
          <w:rStyle w:val="a4"/>
          <w:bCs w:val="0"/>
          <w:color w:val="000000" w:themeColor="text1"/>
          <w:u w:val="none"/>
        </w:rPr>
      </w:pPr>
      <w:r w:rsidRPr="00C410E9">
        <w:rPr>
          <w:rStyle w:val="a4"/>
          <w:bCs w:val="0"/>
          <w:color w:val="000000" w:themeColor="text1"/>
          <w:u w:val="none"/>
        </w:rPr>
        <w:lastRenderedPageBreak/>
        <w:t>Нарушение целостности слизистого барьера</w:t>
      </w:r>
    </w:p>
    <w:p w:rsidR="00C410E9" w:rsidRDefault="00C410E9" w:rsidP="00C410E9">
      <w:pPr>
        <w:pStyle w:val="a3"/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Общая информация</w:t>
      </w:r>
    </w:p>
    <w:tbl>
      <w:tblPr>
        <w:tblpPr w:leftFromText="180" w:rightFromText="180" w:vertAnchor="page" w:horzAnchor="margin" w:tblpY="331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95"/>
        <w:gridCol w:w="2676"/>
      </w:tblGrid>
      <w:tr w:rsidR="00D05623" w:rsidRPr="00C233C1" w:rsidTr="00D05623">
        <w:trPr>
          <w:trHeight w:val="248"/>
        </w:trPr>
        <w:tc>
          <w:tcPr>
            <w:tcW w:w="64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А/б препарат</w:t>
            </w:r>
          </w:p>
        </w:tc>
        <w:tc>
          <w:tcPr>
            <w:tcW w:w="26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Частота %</w:t>
            </w:r>
          </w:p>
        </w:tc>
      </w:tr>
      <w:tr w:rsidR="00D05623" w:rsidRPr="00C233C1" w:rsidTr="00D05623">
        <w:trPr>
          <w:trHeight w:val="248"/>
        </w:trPr>
        <w:tc>
          <w:tcPr>
            <w:tcW w:w="64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Амоксициллин/</w:t>
            </w:r>
            <w:proofErr w:type="spellStart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клавуланат</w:t>
            </w:r>
            <w:proofErr w:type="spellEnd"/>
          </w:p>
        </w:tc>
        <w:tc>
          <w:tcPr>
            <w:tcW w:w="26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10-25%</w:t>
            </w:r>
          </w:p>
        </w:tc>
      </w:tr>
      <w:tr w:rsidR="00D05623" w:rsidRPr="00C233C1" w:rsidTr="00D05623">
        <w:trPr>
          <w:trHeight w:val="248"/>
        </w:trPr>
        <w:tc>
          <w:tcPr>
            <w:tcW w:w="64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Цефексим</w:t>
            </w:r>
            <w:proofErr w:type="spellEnd"/>
          </w:p>
        </w:tc>
        <w:tc>
          <w:tcPr>
            <w:tcW w:w="26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15-20%</w:t>
            </w:r>
          </w:p>
        </w:tc>
      </w:tr>
      <w:tr w:rsidR="00D05623" w:rsidRPr="00C233C1" w:rsidTr="00D05623">
        <w:trPr>
          <w:trHeight w:val="248"/>
        </w:trPr>
        <w:tc>
          <w:tcPr>
            <w:tcW w:w="64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Ампициллин или </w:t>
            </w:r>
            <w:proofErr w:type="spellStart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клиндамицин</w:t>
            </w:r>
            <w:proofErr w:type="spellEnd"/>
          </w:p>
        </w:tc>
        <w:tc>
          <w:tcPr>
            <w:tcW w:w="26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5-10% </w:t>
            </w:r>
          </w:p>
        </w:tc>
      </w:tr>
      <w:tr w:rsidR="00D05623" w:rsidRPr="00C233C1" w:rsidTr="00D05623">
        <w:trPr>
          <w:trHeight w:val="248"/>
        </w:trPr>
        <w:tc>
          <w:tcPr>
            <w:tcW w:w="64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Цефалоспорины (кроме </w:t>
            </w:r>
            <w:proofErr w:type="spellStart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цефиксима</w:t>
            </w:r>
            <w:proofErr w:type="spellEnd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2-5% </w:t>
            </w:r>
          </w:p>
        </w:tc>
      </w:tr>
      <w:tr w:rsidR="00D05623" w:rsidRPr="00C233C1" w:rsidTr="00D05623">
        <w:trPr>
          <w:trHeight w:val="429"/>
        </w:trPr>
        <w:tc>
          <w:tcPr>
            <w:tcW w:w="64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Макролиды</w:t>
            </w:r>
            <w:proofErr w:type="spellEnd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(эритромицин, </w:t>
            </w:r>
            <w:proofErr w:type="spellStart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2-5%</w:t>
            </w:r>
          </w:p>
        </w:tc>
      </w:tr>
      <w:tr w:rsidR="00D05623" w:rsidRPr="00C233C1" w:rsidTr="00D05623">
        <w:trPr>
          <w:trHeight w:val="248"/>
        </w:trPr>
        <w:tc>
          <w:tcPr>
            <w:tcW w:w="64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Фторхинолоны</w:t>
            </w:r>
            <w:proofErr w:type="spellEnd"/>
          </w:p>
        </w:tc>
        <w:tc>
          <w:tcPr>
            <w:tcW w:w="26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1-2%</w:t>
            </w:r>
          </w:p>
        </w:tc>
      </w:tr>
      <w:tr w:rsidR="00D05623" w:rsidRPr="00C233C1" w:rsidTr="001F0C9D">
        <w:trPr>
          <w:trHeight w:val="246"/>
        </w:trPr>
        <w:tc>
          <w:tcPr>
            <w:tcW w:w="64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Триметоприм-сульфаметоксазол</w:t>
            </w:r>
            <w:proofErr w:type="spellEnd"/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C233C1" w:rsidRDefault="00D05623" w:rsidP="00D056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3C1">
              <w:rPr>
                <w:rFonts w:ascii="Times New Roman" w:hAnsi="Times New Roman"/>
                <w:sz w:val="28"/>
                <w:szCs w:val="28"/>
                <w:lang w:eastAsia="ru-RU"/>
              </w:rPr>
              <w:t>&lt; 1%</w:t>
            </w:r>
          </w:p>
        </w:tc>
      </w:tr>
    </w:tbl>
    <w:p w:rsidR="00C410E9" w:rsidRPr="00C233C1" w:rsidRDefault="00C410E9" w:rsidP="00C410E9">
      <w:pPr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</w:rPr>
      </w:pPr>
      <w:r w:rsidRPr="00C233C1">
        <w:rPr>
          <w:rStyle w:val="a4"/>
          <w:rFonts w:ascii="Times New Roman" w:hAnsi="Times New Roman"/>
          <w:noProof/>
          <w:color w:val="000000" w:themeColor="text1"/>
          <w:sz w:val="28"/>
          <w:szCs w:val="28"/>
          <w:u w:val="none"/>
          <w:lang w:eastAsia="ru-RU"/>
        </w:rPr>
        <w:t>Частота развития ААД при применении различных антибактериальных препаратов</w:t>
      </w:r>
    </w:p>
    <w:p w:rsidR="00C233C1" w:rsidRDefault="00C233C1" w:rsidP="00C410E9">
      <w:pPr>
        <w:rPr>
          <w:lang w:eastAsia="ru-RU"/>
        </w:rPr>
      </w:pPr>
    </w:p>
    <w:tbl>
      <w:tblPr>
        <w:tblpPr w:leftFromText="180" w:rightFromText="180" w:vertAnchor="page" w:horzAnchor="margin" w:tblpY="9685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6"/>
        <w:gridCol w:w="3038"/>
        <w:gridCol w:w="3064"/>
      </w:tblGrid>
      <w:tr w:rsidR="001F0C9D" w:rsidRPr="00D05623" w:rsidTr="001F0C9D">
        <w:trPr>
          <w:trHeight w:val="725"/>
        </w:trPr>
        <w:tc>
          <w:tcPr>
            <w:tcW w:w="27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АА диарея</w:t>
            </w:r>
          </w:p>
        </w:tc>
        <w:tc>
          <w:tcPr>
            <w:tcW w:w="610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АА колит</w:t>
            </w:r>
          </w:p>
        </w:tc>
      </w:tr>
      <w:tr w:rsidR="001F0C9D" w:rsidRPr="00D05623" w:rsidTr="001F0C9D">
        <w:trPr>
          <w:trHeight w:val="725"/>
        </w:trPr>
        <w:tc>
          <w:tcPr>
            <w:tcW w:w="27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8"/>
                <w:szCs w:val="28"/>
                <w:u w:val="single"/>
                <w:lang w:eastAsia="ru-RU"/>
              </w:rPr>
              <w:t>Легкое течение</w:t>
            </w:r>
          </w:p>
        </w:tc>
        <w:tc>
          <w:tcPr>
            <w:tcW w:w="30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8"/>
                <w:szCs w:val="28"/>
                <w:u w:val="single"/>
                <w:lang w:eastAsia="ru-RU"/>
              </w:rPr>
              <w:t>Среднетяжелое течение</w:t>
            </w:r>
          </w:p>
        </w:tc>
        <w:tc>
          <w:tcPr>
            <w:tcW w:w="30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8"/>
                <w:szCs w:val="28"/>
                <w:u w:val="single"/>
                <w:lang w:eastAsia="ru-RU"/>
              </w:rPr>
              <w:t>Тяжелое течение</w:t>
            </w:r>
          </w:p>
        </w:tc>
      </w:tr>
      <w:tr w:rsidR="001F0C9D" w:rsidRPr="00D05623" w:rsidTr="001F0C9D">
        <w:trPr>
          <w:trHeight w:val="725"/>
        </w:trPr>
        <w:tc>
          <w:tcPr>
            <w:tcW w:w="27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-Водянистая диарея до 5-7 р/</w:t>
            </w:r>
            <w:proofErr w:type="spellStart"/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30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-Водянистая диарея 10-15 р/</w:t>
            </w:r>
            <w:proofErr w:type="spellStart"/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30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-Диарея 15-20 р/</w:t>
            </w:r>
            <w:proofErr w:type="spellStart"/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1F0C9D" w:rsidRPr="00D05623" w:rsidTr="001F0C9D">
        <w:trPr>
          <w:trHeight w:val="725"/>
        </w:trPr>
        <w:tc>
          <w:tcPr>
            <w:tcW w:w="27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Умеренная боль в животе</w:t>
            </w:r>
          </w:p>
        </w:tc>
        <w:tc>
          <w:tcPr>
            <w:tcW w:w="30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Боль в животе</w:t>
            </w:r>
          </w:p>
        </w:tc>
        <w:tc>
          <w:tcPr>
            <w:tcW w:w="30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Астения</w:t>
            </w:r>
          </w:p>
        </w:tc>
      </w:tr>
      <w:tr w:rsidR="001F0C9D" w:rsidRPr="00D05623" w:rsidTr="001F0C9D">
        <w:trPr>
          <w:trHeight w:val="24"/>
        </w:trPr>
        <w:tc>
          <w:tcPr>
            <w:tcW w:w="27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Отсутствие лихорадки и воспалительных изменений в  ОАК</w:t>
            </w:r>
          </w:p>
        </w:tc>
        <w:tc>
          <w:tcPr>
            <w:tcW w:w="30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Лихорадка до 38С</w:t>
            </w:r>
          </w:p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Умеренная дегидратация</w:t>
            </w:r>
          </w:p>
          <w:p w:rsidR="001F0C9D" w:rsidRPr="00D05623" w:rsidRDefault="001F0C9D" w:rsidP="001F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Лейкоцитоз</w:t>
            </w:r>
          </w:p>
        </w:tc>
        <w:tc>
          <w:tcPr>
            <w:tcW w:w="30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623" w:rsidRPr="00D05623" w:rsidRDefault="00D05623" w:rsidP="001F0C9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Лихорадка 38-40С</w:t>
            </w:r>
          </w:p>
          <w:p w:rsidR="00D05623" w:rsidRPr="00D05623" w:rsidRDefault="00D05623" w:rsidP="001F0C9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Тяжелая дегидратация</w:t>
            </w:r>
          </w:p>
          <w:p w:rsidR="00D05623" w:rsidRPr="00D05623" w:rsidRDefault="00D05623" w:rsidP="001F0C9D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62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Высокий лейкоцитоз</w:t>
            </w:r>
          </w:p>
        </w:tc>
      </w:tr>
    </w:tbl>
    <w:p w:rsidR="00D05623" w:rsidRDefault="00D05623" w:rsidP="00D05623">
      <w:pPr>
        <w:pStyle w:val="a3"/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C41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Клинические формы</w:t>
      </w:r>
    </w:p>
    <w:p w:rsidR="00C233C1" w:rsidRDefault="00C233C1" w:rsidP="00C410E9">
      <w:pPr>
        <w:rPr>
          <w:lang w:eastAsia="ru-RU"/>
        </w:rPr>
      </w:pPr>
    </w:p>
    <w:p w:rsidR="00482B7F" w:rsidRPr="00482B7F" w:rsidRDefault="001F0C9D" w:rsidP="00482B7F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Диагностика</w:t>
      </w:r>
    </w:p>
    <w:p w:rsidR="00482B7F" w:rsidRDefault="00482B7F" w:rsidP="00482B7F">
      <w:pPr>
        <w:pStyle w:val="a5"/>
        <w:rPr>
          <w:color w:val="000000" w:themeColor="dark1"/>
          <w:kern w:val="24"/>
          <w:sz w:val="28"/>
          <w:szCs w:val="28"/>
        </w:rPr>
      </w:pPr>
    </w:p>
    <w:p w:rsidR="00000000" w:rsidRPr="001F0C9D" w:rsidRDefault="00482B7F" w:rsidP="001F0C9D">
      <w:pPr>
        <w:pStyle w:val="a5"/>
        <w:numPr>
          <w:ilvl w:val="0"/>
          <w:numId w:val="5"/>
        </w:numPr>
        <w:rPr>
          <w:color w:val="000000" w:themeColor="dark1"/>
          <w:kern w:val="24"/>
          <w:sz w:val="28"/>
          <w:szCs w:val="28"/>
        </w:rPr>
      </w:pPr>
      <w:r w:rsidRPr="001F0C9D">
        <w:rPr>
          <w:color w:val="000000" w:themeColor="dark1"/>
          <w:kern w:val="24"/>
          <w:sz w:val="28"/>
          <w:szCs w:val="28"/>
        </w:rPr>
        <w:t xml:space="preserve">ОАК: лейкоцитоз, анемия, СОЭ, </w:t>
      </w:r>
      <w:proofErr w:type="spellStart"/>
      <w:r w:rsidRPr="001F0C9D">
        <w:rPr>
          <w:color w:val="000000" w:themeColor="dark1"/>
          <w:kern w:val="24"/>
          <w:sz w:val="28"/>
          <w:szCs w:val="28"/>
        </w:rPr>
        <w:t>гипоальбуминемия</w:t>
      </w:r>
      <w:proofErr w:type="spellEnd"/>
      <w:r w:rsidRPr="001F0C9D">
        <w:rPr>
          <w:color w:val="000000" w:themeColor="dark1"/>
          <w:kern w:val="24"/>
          <w:sz w:val="28"/>
          <w:szCs w:val="28"/>
        </w:rPr>
        <w:t xml:space="preserve"> </w:t>
      </w:r>
    </w:p>
    <w:p w:rsidR="00000000" w:rsidRPr="001F0C9D" w:rsidRDefault="00482B7F" w:rsidP="001F0C9D">
      <w:pPr>
        <w:numPr>
          <w:ilvl w:val="0"/>
          <w:numId w:val="5"/>
        </w:num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proofErr w:type="spellStart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Копрограмма</w:t>
      </w:r>
      <w:proofErr w:type="spellEnd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: лейкоциты, эритроциты </w:t>
      </w:r>
    </w:p>
    <w:p w:rsidR="00000000" w:rsidRPr="001F0C9D" w:rsidRDefault="00482B7F" w:rsidP="001F0C9D">
      <w:pPr>
        <w:numPr>
          <w:ilvl w:val="0"/>
          <w:numId w:val="5"/>
        </w:num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Посев кала на дисбактериоз: рост </w:t>
      </w:r>
      <w:proofErr w:type="spellStart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Ca</w:t>
      </w:r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ndida</w:t>
      </w:r>
      <w:proofErr w:type="spellEnd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spp</w:t>
      </w:r>
      <w:proofErr w:type="spellEnd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. &gt;</w:t>
      </w:r>
      <w:proofErr w:type="gramEnd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10 3 КОЭ, повышение содержания бактерий в тонкой кишке до 10 6 /мл и выше, рост </w:t>
      </w:r>
      <w:proofErr w:type="spellStart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C.difficile</w:t>
      </w:r>
      <w:proofErr w:type="spellEnd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</w:p>
    <w:p w:rsidR="00000000" w:rsidRDefault="00482B7F" w:rsidP="001F0C9D">
      <w:pPr>
        <w:numPr>
          <w:ilvl w:val="0"/>
          <w:numId w:val="5"/>
        </w:num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Исследование кала на токсины А и В </w:t>
      </w:r>
      <w:proofErr w:type="spellStart"/>
      <w:proofErr w:type="gramStart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C.difficile</w:t>
      </w:r>
      <w:proofErr w:type="spellEnd"/>
      <w:proofErr w:type="gramEnd"/>
      <w:r w:rsidRPr="001F0C9D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(ИФА)</w:t>
      </w:r>
    </w:p>
    <w:p w:rsidR="00482B7F" w:rsidRDefault="00482B7F" w:rsidP="00482B7F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Лечение</w:t>
      </w:r>
    </w:p>
    <w:p w:rsid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000000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Лечение заключается в отмене 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или снижении доз антибиотиков и назначении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продиводиарейных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препаратов (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лоперамид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смекта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полисорб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энтерол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). 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br/>
        <w:t xml:space="preserve">Целесообразно применение таких препаратов, как производных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нитрофуранового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ряда </w:t>
      </w:r>
      <w:proofErr w:type="spellStart"/>
      <w: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метронидозол</w:t>
      </w:r>
      <w:proofErr w:type="spellEnd"/>
      <w: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), а также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трициклического</w:t>
      </w:r>
      <w: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гликопротеида (</w:t>
      </w:r>
      <w:proofErr w:type="spellStart"/>
      <w: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ванкомицина</w:t>
      </w:r>
      <w:proofErr w:type="spellEnd"/>
      <w: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)</w:t>
      </w:r>
    </w:p>
    <w:p w:rsidR="00000000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Применение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пробиотиков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может значительно снизить заболеваемость антибиотик ассоциированной диареей и может являться персп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ективным средством для лечения и профилактики CDI.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Saccharomyces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boulardi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Lactobacillus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rhamnosus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GG и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пробиотические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смеси обладают профилактическим действием и могут помочь предотвратить развитие антибиотико-ассоциированной диареи,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Saccharomyces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boulard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i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проявляют свою эффективность в лечении CDI. </w:t>
      </w:r>
    </w:p>
    <w:p w:rsidR="00000000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Перспективным направлением в профилактике и лечении CDI, является использование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аутоштаммов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Lactobacillus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spp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. с лабо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раторной оценкой их антагонистической активности простив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Clostridium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spp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., включая 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C.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difficile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. </w:t>
      </w:r>
    </w:p>
    <w:p w:rsidR="00482B7F" w:rsidRDefault="00482B7F" w:rsidP="00482B7F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Профилактика</w:t>
      </w:r>
    </w:p>
    <w:p w:rsid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482B7F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Основные мероприятия по профилактике распространения ААД внутри стационара: обоснованное назначение антибиотиков, мытье рук, изоляция инфицированных пациентов и использование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пробиотиков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для первичной профилактики. </w:t>
      </w:r>
    </w:p>
    <w:p w:rsid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Наилучший эффект от применения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пробиотиков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отмечался в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br/>
        <w:t xml:space="preserve">случае их использования в первые 72 часа от начала антибиотикотерапии. Так же в профилактику ААД можно включить ограничение использование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lastRenderedPageBreak/>
        <w:t>клиндамицина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и цефалоспоринов III поколения – антибиотиков с высокой степенью риска развития ААД.</w:t>
      </w:r>
    </w:p>
    <w:p w:rsidR="00482B7F" w:rsidRDefault="00482B7F" w:rsidP="00482B7F">
      <w:pPr>
        <w:pStyle w:val="a3"/>
        <w:spacing w:line="276" w:lineRule="auto"/>
        <w:ind w:left="7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 Список литературы</w:t>
      </w:r>
    </w:p>
    <w:p w:rsidR="00482B7F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000000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1) Клинические рекомендации по диагностике, лечению и профилактике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Clostridium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difficile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-ассоциированной диареи. Клинические рекомендации. - Москва: Изд-во, 2017. – 24 с</w:t>
      </w:r>
    </w:p>
    <w:p w:rsidR="00000000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2) Антибиотико-ассоциированные поражения кишечника в практике клинициста: пособие для врачей /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Ардатская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М.Д.,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Топчий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Т.Б.,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Буторова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Л.И. [и др.]. М.: Прима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Принт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,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2020. – 53 с.: ил., табл. – ISBN 978-5-6042241-9-9.</w:t>
      </w:r>
    </w:p>
    <w:p w:rsidR="00000000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3) Стратегия и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тактика рационального применения антимикробных средств в амбулаторной практике: Российские прак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тические рекомендации / под ред. С.В. Яковлева, С.В. Сидоренко, В.В. 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Рафальского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, Т.В.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Спичак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. М.: Издательство Престо, 2014-121 с.</w:t>
      </w:r>
    </w:p>
    <w:p w:rsidR="00000000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4) 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В. Эффективность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пробиотико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в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при инфекциях желудочно-кишечного тракта //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Доктор.Ру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. Гастроэнтерология. 2015. № 12 (113). С. 34-41</w:t>
      </w:r>
    </w:p>
    <w:p w:rsidR="00000000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5) Заболевания, ассоциированные с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Сlostridium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difficile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 / О.П</w:t>
      </w:r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 xml:space="preserve">. Логинова – Гомель: ГУ «РНПЦ </w:t>
      </w:r>
      <w:proofErr w:type="spellStart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РМиЭЧ</w:t>
      </w:r>
      <w:proofErr w:type="spellEnd"/>
      <w:r w:rsidRPr="00482B7F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  <w:t>», 2019. – 46 с.</w:t>
      </w:r>
    </w:p>
    <w:p w:rsidR="00482B7F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482B7F" w:rsidRPr="00482B7F" w:rsidRDefault="00482B7F" w:rsidP="00482B7F">
      <w:pPr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482B7F" w:rsidRDefault="00482B7F" w:rsidP="00482B7F">
      <w:pPr>
        <w:ind w:left="360"/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482B7F" w:rsidRDefault="00482B7F" w:rsidP="00482B7F">
      <w:pPr>
        <w:ind w:left="720"/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482B7F" w:rsidRPr="001F0C9D" w:rsidRDefault="00482B7F" w:rsidP="00482B7F">
      <w:pPr>
        <w:ind w:left="720"/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eastAsia="ru-RU"/>
        </w:rPr>
      </w:pPr>
    </w:p>
    <w:p w:rsidR="00D05623" w:rsidRPr="00C410E9" w:rsidRDefault="00D05623" w:rsidP="00C410E9">
      <w:pPr>
        <w:rPr>
          <w:lang w:eastAsia="ru-RU"/>
        </w:rPr>
      </w:pPr>
    </w:p>
    <w:p w:rsidR="00C410E9" w:rsidRPr="00C410E9" w:rsidRDefault="00C410E9" w:rsidP="00C410E9">
      <w:pPr>
        <w:rPr>
          <w:lang w:eastAsia="ru-RU"/>
        </w:rPr>
      </w:pPr>
    </w:p>
    <w:p w:rsidR="00C410E9" w:rsidRPr="00792C10" w:rsidRDefault="00C410E9" w:rsidP="00C410E9">
      <w:pPr>
        <w:pStyle w:val="a3"/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C410E9" w:rsidRPr="0079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4056"/>
    <w:multiLevelType w:val="hybridMultilevel"/>
    <w:tmpl w:val="D36C93A0"/>
    <w:lvl w:ilvl="0" w:tplc="F79C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0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24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47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A7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82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C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8F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36928"/>
    <w:multiLevelType w:val="hybridMultilevel"/>
    <w:tmpl w:val="087AB190"/>
    <w:lvl w:ilvl="0" w:tplc="588C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26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6C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4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0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D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331C49"/>
    <w:multiLevelType w:val="hybridMultilevel"/>
    <w:tmpl w:val="0CCC3AB4"/>
    <w:lvl w:ilvl="0" w:tplc="4E963C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B15"/>
    <w:multiLevelType w:val="hybridMultilevel"/>
    <w:tmpl w:val="0CCC3AB4"/>
    <w:lvl w:ilvl="0" w:tplc="4E963C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45F3"/>
    <w:multiLevelType w:val="hybridMultilevel"/>
    <w:tmpl w:val="8200DBDA"/>
    <w:lvl w:ilvl="0" w:tplc="C9C0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CD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C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44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4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28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F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E16BCC"/>
    <w:multiLevelType w:val="hybridMultilevel"/>
    <w:tmpl w:val="9E98B8C0"/>
    <w:lvl w:ilvl="0" w:tplc="2152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1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6A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24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2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E5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A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4E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6B46F3"/>
    <w:multiLevelType w:val="hybridMultilevel"/>
    <w:tmpl w:val="47841A94"/>
    <w:lvl w:ilvl="0" w:tplc="23A83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EC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675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43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29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83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26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A7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6F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D970E2"/>
    <w:multiLevelType w:val="hybridMultilevel"/>
    <w:tmpl w:val="84A8BDA6"/>
    <w:lvl w:ilvl="0" w:tplc="2CB8F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304C2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0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6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C9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8A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6228A8"/>
    <w:multiLevelType w:val="hybridMultilevel"/>
    <w:tmpl w:val="0CCC3AB4"/>
    <w:lvl w:ilvl="0" w:tplc="4E963C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6449C"/>
    <w:multiLevelType w:val="hybridMultilevel"/>
    <w:tmpl w:val="BBB809C6"/>
    <w:lvl w:ilvl="0" w:tplc="50901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98F2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EC7B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F417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0C40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24CE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BA13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E88D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8C34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E5CC2"/>
    <w:multiLevelType w:val="hybridMultilevel"/>
    <w:tmpl w:val="A976ADEE"/>
    <w:lvl w:ilvl="0" w:tplc="3A60E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A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2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2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4"/>
    <w:rsid w:val="001F0C9D"/>
    <w:rsid w:val="003408CE"/>
    <w:rsid w:val="003E4104"/>
    <w:rsid w:val="00482B7F"/>
    <w:rsid w:val="0072645F"/>
    <w:rsid w:val="0075522F"/>
    <w:rsid w:val="00792C10"/>
    <w:rsid w:val="00B16FF8"/>
    <w:rsid w:val="00C233C1"/>
    <w:rsid w:val="00C410E9"/>
    <w:rsid w:val="00C94C1A"/>
    <w:rsid w:val="00CA4DEC"/>
    <w:rsid w:val="00D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D2BF"/>
  <w15:chartTrackingRefBased/>
  <w15:docId w15:val="{3A7AD45F-770E-490E-8AEE-AD74035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C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792C10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rsid w:val="00792C10"/>
    <w:pPr>
      <w:spacing w:after="100"/>
    </w:pPr>
  </w:style>
  <w:style w:type="paragraph" w:styleId="2">
    <w:name w:val="toc 2"/>
    <w:basedOn w:val="a"/>
    <w:next w:val="a"/>
    <w:autoRedefine/>
    <w:uiPriority w:val="99"/>
    <w:rsid w:val="00C410E9"/>
    <w:pPr>
      <w:tabs>
        <w:tab w:val="right" w:leader="dot" w:pos="9629"/>
      </w:tabs>
      <w:spacing w:after="100"/>
    </w:pPr>
    <w:rPr>
      <w:rFonts w:ascii="Times New Roman" w:hAnsi="Times New Roman"/>
      <w:bCs/>
      <w:noProof/>
      <w:color w:val="FF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33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05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8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5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6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1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9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6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4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3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8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7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6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48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1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3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64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13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3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930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8</cp:revision>
  <dcterms:created xsi:type="dcterms:W3CDTF">2022-06-21T11:33:00Z</dcterms:created>
  <dcterms:modified xsi:type="dcterms:W3CDTF">2022-06-21T12:05:00Z</dcterms:modified>
</cp:coreProperties>
</file>